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March 31, 2023</w:t>
      </w:r>
    </w:p>
    <w:p>
      <w:pPr>
        <w:spacing w:after="0" w:line="17"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56" w:lineRule="exact"/>
        <w:rPr>
          <w:sz w:val="24"/>
          <w:szCs w:val="24"/>
          <w:color w:val="auto"/>
        </w:rPr>
      </w:pPr>
    </w:p>
    <w:p>
      <w:pPr>
        <w:ind w:right="48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0" w:lineRule="exact"/>
        <w:rPr>
          <w:sz w:val="24"/>
          <w:szCs w:val="24"/>
          <w:color w:val="auto"/>
        </w:rPr>
      </w:pPr>
    </w:p>
    <w:p>
      <w:pPr>
        <w:ind w:right="3120"/>
        <w:spacing w:after="0" w:line="26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May 5, 2023, there were 20,171,287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2023 and September 30, 2022</w:t>
            </w:r>
          </w:p>
        </w:tc>
        <w:tc>
          <w:tcPr>
            <w:tcW w:w="324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March 31, 2023 and 2022</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 Months Ended March 31, 2023 and 2022</w:t>
            </w:r>
          </w:p>
        </w:tc>
        <w:tc>
          <w:tcPr>
            <w:tcW w:w="700" w:type="dxa"/>
            <w:vAlign w:val="bottom"/>
            <w:gridSpan w:val="2"/>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March 31, 2023 and 2022</w:t>
            </w:r>
          </w:p>
        </w:tc>
        <w:tc>
          <w:tcPr>
            <w:tcW w:w="210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660" w:type="dxa"/>
            <w:vAlign w:val="bottom"/>
            <w:gridSpan w:val="12"/>
          </w:tcPr>
          <w:p>
            <w:pPr>
              <w:jc w:val="right"/>
              <w:ind w:right="1200"/>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29" w:lineRule="exact"/>
        <w:rPr>
          <w:rFonts w:ascii="Times New Roman" w:cs="Times New Roman" w:eastAsia="Times New Roman" w:hAnsi="Times New Roman"/>
          <w:sz w:val="17"/>
          <w:szCs w:val="17"/>
          <w:color w:val="auto"/>
        </w:rPr>
      </w:pPr>
    </w:p>
    <w:p>
      <w:pPr>
        <w:ind w:left="620" w:right="3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Russia's invasion of Ukraine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ind w:left="620" w:right="20" w:hanging="307"/>
        <w:spacing w:after="0" w:line="25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coronavirus disease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90"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64" w:lineRule="exact"/>
        <w:rPr>
          <w:rFonts w:ascii="Times New Roman" w:cs="Times New Roman" w:eastAsia="Times New Roman" w:hAnsi="Times New Roman"/>
          <w:sz w:val="17"/>
          <w:szCs w:val="17"/>
          <w:color w:val="auto"/>
        </w:rPr>
      </w:pPr>
    </w:p>
    <w:p>
      <w:pPr>
        <w:ind w:left="620" w:right="1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42" w:lineRule="exact"/>
        <w:rPr>
          <w:rFonts w:ascii="Times New Roman" w:cs="Times New Roman" w:eastAsia="Times New Roman" w:hAnsi="Times New Roman"/>
          <w:sz w:val="17"/>
          <w:szCs w:val="17"/>
          <w:color w:val="auto"/>
        </w:rPr>
      </w:pPr>
    </w:p>
    <w:p>
      <w:pPr>
        <w:ind w:left="307" w:right="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pacing w:after="0" w:line="177" w:lineRule="exact"/>
        <w:rPr>
          <w:rFonts w:ascii="Times New Roman" w:cs="Times New Roman" w:eastAsia="Times New Roman" w:hAnsi="Times New Roman"/>
          <w:sz w:val="17"/>
          <w:szCs w:val="17"/>
          <w:color w:val="auto"/>
        </w:rPr>
      </w:pPr>
    </w:p>
    <w:p>
      <w:pPr>
        <w:ind w:left="307" w:right="7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existing or potential future laws and regulations, including those related to the environment and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laws and regulations, including environmental laws and regulations and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right="2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certain tax benefits of our net operating losses may be restricted or reduced as a result of a change in ownership or a decrease in the federal tax rate;</w:t>
      </w:r>
    </w:p>
    <w:p>
      <w:pPr>
        <w:spacing w:after="0" w:line="177" w:lineRule="exact"/>
        <w:rPr>
          <w:rFonts w:ascii="Times New Roman" w:cs="Times New Roman" w:eastAsia="Times New Roman" w:hAnsi="Times New Roman"/>
          <w:sz w:val="17"/>
          <w:szCs w:val="17"/>
          <w:color w:val="auto"/>
        </w:rPr>
      </w:pPr>
    </w:p>
    <w:p>
      <w:pPr>
        <w:ind w:left="307" w:right="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right="3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complete acquisitions, and service our debt;</w:t>
      </w:r>
    </w:p>
    <w:p>
      <w:pPr>
        <w:spacing w:after="0" w:line="177"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1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may make it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ectPr>
          <w:pgSz w:w="11900" w:h="16838" w:orient="portrait"/>
          <w:cols w:equalWidth="0" w:num="1">
            <w:col w:w="10887"/>
          </w:cols>
          <w:pgMar w:left="633" w:top="4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77470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7"/>
          </w:cols>
          <w:pgMar w:left="633" w:top="420" w:right="379" w:bottom="1440" w:gutter="0" w:footer="0" w:header="0"/>
          <w:type w:val="continuous"/>
        </w:sectPr>
      </w:pPr>
    </w:p>
    <w:bookmarkStart w:id="4" w:name="page5"/>
    <w:bookmarkEnd w:id="4"/>
    <w:p>
      <w:pPr>
        <w:ind w:left="620" w:right="40" w:hanging="307"/>
        <w:spacing w:after="0" w:line="27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resulting from our designation of the Court of Chancery of the State of Delaware as the sole and exclusive forum for certain types of actions and proceedings;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2022,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9"/>
              </w:rPr>
              <w:t>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8"/>
                <w:szCs w:val="18"/>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Trade, net of allowance of $3,757 and $5,361,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330,643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370,726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65,065</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96,333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52,076</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591,934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624,398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54,426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20,519</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889,088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934,709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316,950</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84,936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372,967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401,886</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81,628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38,144</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454,744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544,228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issued and 20,171,521 and 20,341,900 outstanding,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Treasury stock, at cost, 1,878,008 and 1,707,629 shares,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201,871</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245,324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203,197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397,751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361,288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889,088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934,709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467,955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443,086</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58,507</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63,430</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(loss)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(loss)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(loss)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(loss)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20,170,824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20,772,426</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20,387,796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20,772,426</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947,391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843,868</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138,234</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122,832</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15,337</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2,688</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11,029</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20,206,814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20,737,253</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20,414,492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21,139,429</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ectPr>
          <w:pgSz w:w="11900" w:h="16838" w:orient="portrait"/>
          <w:cols w:equalWidth="0" w:num="1">
            <w:col w:w="11140"/>
          </w:cols>
          <w:pgMar w:left="400" w:top="6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December 31, 2022</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Option exercised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20" w:firstLine="142"/>
        <w:spacing w:after="0" w:line="371" w:lineRule="auto"/>
        <w:rPr>
          <w:sz w:val="20"/>
          <w:szCs w:val="20"/>
          <w:color w:val="auto"/>
        </w:rPr>
      </w:pPr>
      <w:r>
        <w:rPr>
          <w:rFonts w:ascii="Times New Roman" w:cs="Times New Roman" w:eastAsia="Times New Roman" w:hAnsi="Times New Roman"/>
          <w:sz w:val="14"/>
          <w:szCs w:val="14"/>
          <w:color w:val="auto"/>
        </w:rPr>
        <w:t>Net income attributable to IES Holdings, Inc. BALANCE,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December 31, 2021</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loss attributable to IES Holdings, Inc.</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right="540" w:hanging="128"/>
        <w:spacing w:after="0" w:line="288" w:lineRule="auto"/>
        <w:rPr>
          <w:sz w:val="20"/>
          <w:szCs w:val="20"/>
          <w:color w:val="auto"/>
        </w:rPr>
      </w:pPr>
      <w:r>
        <w:rPr>
          <w:rFonts w:ascii="Times New Roman" w:cs="Times New Roman" w:eastAsia="Times New Roman" w:hAnsi="Times New Roman"/>
          <w:sz w:val="14"/>
          <w:szCs w:val="14"/>
          <w:color w:val="auto"/>
        </w:rPr>
        <w:t>BALANCE, September 30, 2022 Issuances under compensation plans Acquisition of treasury stock Options exercised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500" w:hanging="115"/>
        <w:spacing w:after="0" w:line="288" w:lineRule="auto"/>
        <w:rPr>
          <w:sz w:val="20"/>
          <w:szCs w:val="20"/>
          <w:color w:val="auto"/>
        </w:rPr>
      </w:pPr>
      <w:r>
        <w:rPr>
          <w:rFonts w:ascii="Times New Roman" w:cs="Times New Roman" w:eastAsia="Times New Roman" w:hAnsi="Times New Roman"/>
          <w:sz w:val="14"/>
          <w:szCs w:val="14"/>
          <w:color w:val="auto"/>
        </w:rPr>
        <w:t>BALANCE, September 30, 2021 Issuances under compensation plans Acquisition of treasury stock Non-cash compensation</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2022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25400</wp:posOffset>
            </wp:positionV>
            <wp:extent cx="5034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3491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12"/>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5"/>
                <w:szCs w:val="15"/>
                <w:color w:val="auto"/>
              </w:rPr>
            </w:pPr>
          </w:p>
        </w:tc>
        <w:tc>
          <w:tcPr>
            <w:tcW w:w="224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7"/>
              </w:rPr>
              <w:t>Additional Paid-In</w:t>
            </w: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24"/>
                <w:szCs w:val="24"/>
                <w:color w:val="auto"/>
              </w:rPr>
            </w:pPr>
          </w:p>
        </w:tc>
        <w:tc>
          <w:tcPr>
            <w:tcW w:w="920" w:type="dxa"/>
            <w:vAlign w:val="bottom"/>
            <w:gridSpan w:val="2"/>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1220" w:type="dxa"/>
            <w:vAlign w:val="bottom"/>
            <w:gridSpan w:val="5"/>
            <w:vMerge w:val="continue"/>
          </w:tcPr>
          <w:p>
            <w:pPr>
              <w:spacing w:after="0"/>
              <w:rPr>
                <w:sz w:val="24"/>
                <w:szCs w:val="24"/>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w w:val="98"/>
              </w:rPr>
              <w:t>Capital</w:t>
            </w:r>
          </w:p>
        </w:tc>
        <w:tc>
          <w:tcPr>
            <w:tcW w:w="12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(1,875,676)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(49,653)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200,940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226,544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378,051</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(1,878,008)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201,958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245,324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397,751</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Three Months Ended March 31, 2022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right"/>
              <w:ind w:right="431"/>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24"/>
                <w:szCs w:val="24"/>
                <w:color w:val="auto"/>
              </w:rPr>
            </w:pPr>
          </w:p>
        </w:tc>
        <w:tc>
          <w:tcPr>
            <w:tcW w:w="920" w:type="dxa"/>
            <w:vAlign w:val="bottom"/>
            <w:gridSpan w:val="2"/>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7"/>
              </w:rPr>
              <w:t>Additional Paid -</w:t>
            </w: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7"/>
              </w:rPr>
              <w:t>In 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(1,261,444)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(30,460)</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187,538</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356,460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(1,264,031)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181,256</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351,048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Six Months Ended March 31, 2023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right"/>
              <w:ind w:right="431"/>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22"/>
                <w:szCs w:val="22"/>
                <w:color w:val="auto"/>
              </w:rPr>
            </w:pPr>
          </w:p>
        </w:tc>
        <w:tc>
          <w:tcPr>
            <w:tcW w:w="920" w:type="dxa"/>
            <w:vAlign w:val="bottom"/>
            <w:gridSpan w:val="2"/>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2"/>
                <w:szCs w:val="22"/>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7"/>
              </w:rPr>
              <w:t>Additional Paid -</w:t>
            </w: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7"/>
              </w:rPr>
              <w:t>In 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(1,707,629)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203,197</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361,288</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71,013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(243,392)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(1,878,008)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245,324</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397,751</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Six Months Ended March 31, 2022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bottom w:val="single" w:sz="8" w:color="auto"/>
            </w:tcBorders>
            <w:gridSpan w:val="1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10"/>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24"/>
                <w:szCs w:val="24"/>
                <w:color w:val="auto"/>
              </w:rPr>
            </w:pPr>
          </w:p>
        </w:tc>
        <w:tc>
          <w:tcPr>
            <w:tcW w:w="920" w:type="dxa"/>
            <w:vAlign w:val="bottom"/>
            <w:gridSpan w:val="2"/>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7"/>
              </w:rPr>
              <w:t>Additional Paid -</w:t>
            </w: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7"/>
              </w:rPr>
              <w:t>In Capital</w:t>
            </w:r>
          </w:p>
        </w:tc>
        <w:tc>
          <w:tcPr>
            <w:tcW w:w="12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(1,316,998)</w:t>
            </w:r>
          </w:p>
        </w:tc>
        <w:tc>
          <w:tcPr>
            <w:tcW w:w="20" w:type="dxa"/>
            <w:vAlign w:val="bottom"/>
            <w:tcBorders>
              <w:top w:val="single" w:sz="8" w:color="auto"/>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(29,300)</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173,134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345,953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157,167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(104,200)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(1,264,031)</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181,256</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351,048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-5934710</wp:posOffset>
            </wp:positionV>
            <wp:extent cx="7080885" cy="130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0885" cy="13081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-5680710</wp:posOffset>
            </wp:positionV>
            <wp:extent cx="7080885"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-5434965</wp:posOffset>
            </wp:positionV>
            <wp:extent cx="7080885"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-5189220</wp:posOffset>
            </wp:positionV>
            <wp:extent cx="7080885"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0885" cy="14732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-4256405</wp:posOffset>
            </wp:positionV>
            <wp:extent cx="7056755"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-4002405</wp:posOffset>
            </wp:positionV>
            <wp:extent cx="7056755"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-3756660</wp:posOffset>
            </wp:positionV>
            <wp:extent cx="7056755"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-2717165</wp:posOffset>
            </wp:positionV>
            <wp:extent cx="7105650" cy="130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-2463165</wp:posOffset>
            </wp:positionV>
            <wp:extent cx="710565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-2218055</wp:posOffset>
            </wp:positionV>
            <wp:extent cx="7105650"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-1972310</wp:posOffset>
            </wp:positionV>
            <wp:extent cx="7105650"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-908050</wp:posOffset>
            </wp:positionV>
            <wp:extent cx="7056755" cy="130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-654050</wp:posOffset>
            </wp:positionV>
            <wp:extent cx="705675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-408940</wp:posOffset>
            </wp:positionV>
            <wp:extent cx="7056755"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-163195</wp:posOffset>
            </wp:positionV>
            <wp:extent cx="7056755" cy="147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6755"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520"/>
            <w:col w:w="7960"/>
          </w:cols>
          <w:pgMar w:left="400" w:top="622" w:right="359" w:bottom="1440" w:gutter="0" w:footer="0" w:header="0"/>
          <w:type w:val="continuous"/>
        </w:sectPr>
      </w:pPr>
    </w:p>
    <w:p>
      <w:pPr>
        <w:spacing w:after="0" w:line="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400" w:top="622"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52,926</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(17,325)</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(12,128)</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26,911</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219"/>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60,059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(21,627)</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2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(21,928)</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1,162,971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872,609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(842,727)</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(4,925)</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Options exercised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(82,060)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23,105</w:t>
            </w:r>
          </w:p>
        </w:tc>
      </w:tr>
      <w:tr>
        <w:trPr>
          <w:trHeight w:val="27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Cash paid for interest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r>
    </w:tbl>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4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2022.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810 and the redemption amounts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right="40"/>
        <w:spacing w:after="0" w:line="287" w:lineRule="auto"/>
        <w:rPr>
          <w:sz w:val="20"/>
          <w:szCs w:val="20"/>
          <w:color w:val="auto"/>
        </w:rPr>
      </w:pPr>
      <w:r>
        <w:rPr>
          <w:rFonts w:ascii="Times New Roman" w:cs="Times New Roman" w:eastAsia="Times New Roman" w:hAnsi="Times New Roman"/>
          <w:sz w:val="17"/>
          <w:szCs w:val="17"/>
          <w:color w:val="auto"/>
        </w:rPr>
        <w:t>assuming the noncontrolling interests were redeemable at the balance sheet date. If all of the noncontrolling interests remaining outstanding at March 31, 2023 had been redeemable at that date, the redemption amount would have been $36,593.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4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 xml:space="preserve">Other (Income) Expense, Net includes primarily unrealized gains or losses on equity securities, including those related to our Executive Deferred Compensation Plan. These securities are recorded at fair value (Level 1) at the end of each reporting period. Please refer to </w:t>
      </w:r>
      <w:r>
        <w:rPr>
          <w:rFonts w:ascii="Times New Roman" w:cs="Times New Roman" w:eastAsia="Times New Roman" w:hAnsi="Times New Roman"/>
          <w:sz w:val="17"/>
          <w:szCs w:val="17"/>
          <w:i w:val="1"/>
          <w:iCs w:val="1"/>
          <w:color w:val="auto"/>
        </w:rPr>
        <w:t>Note 8 - Fair Value Measurements</w:t>
      </w:r>
      <w:r>
        <w:rPr>
          <w:rFonts w:ascii="Times New Roman" w:cs="Times New Roman" w:eastAsia="Times New Roman" w:hAnsi="Times New Roman"/>
          <w:sz w:val="17"/>
          <w:szCs w:val="17"/>
          <w:color w:val="auto"/>
        </w:rPr>
        <w:t xml:space="preserve">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58 percent of the Company’s outstanding common stock based on Amendment No. 26 to the Schedule 13D filed by Tontine with the SEC on December 16, 2022 and the Company's shares outstanding as of May 5, 2023.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spacing w:after="0" w:line="19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right="500"/>
        <w:spacing w:after="0" w:line="287" w:lineRule="auto"/>
        <w:rPr>
          <w:sz w:val="20"/>
          <w:szCs w:val="20"/>
          <w:color w:val="auto"/>
        </w:rPr>
      </w:pPr>
      <w:r>
        <w:rPr>
          <w:rFonts w:ascii="Times New Roman" w:cs="Times New Roman" w:eastAsia="Times New Roman" w:hAnsi="Times New Roman"/>
          <w:sz w:val="17"/>
          <w:szCs w:val="17"/>
          <w:color w:val="auto"/>
        </w:rPr>
        <w:t>incurred in his or her capacity as a Board Observer and such rights to coverage under the Company’s directors’ and officers’ liability insurance policy as are available to the Company’s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9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six months ended March 31, 2023 and 2022 was derived from the following activities. See details in the following tables: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13"/>
          </w:tcPr>
          <w:p>
            <w:pPr>
              <w:jc w:val="right"/>
              <w:ind w:right="5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3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3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141,120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258,028</w:t>
            </w:r>
          </w:p>
        </w:tc>
      </w:tr>
      <w:tr>
        <w:trPr>
          <w:trHeight w:val="219"/>
        </w:trPr>
        <w:tc>
          <w:tcPr>
            <w:tcW w:w="3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Single-family</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211,426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365,896</w:t>
            </w:r>
          </w:p>
        </w:tc>
      </w:tr>
      <w:tr>
        <w:trPr>
          <w:trHeight w:val="219"/>
        </w:trPr>
        <w:tc>
          <w:tcPr>
            <w:tcW w:w="38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7"/>
                <w:szCs w:val="17"/>
                <w:color w:val="auto"/>
              </w:rPr>
              <w:t>Multi-family and Other</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94,686</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136,286</w:t>
            </w:r>
          </w:p>
        </w:tc>
      </w:tr>
      <w:tr>
        <w:trPr>
          <w:trHeight w:val="212"/>
        </w:trPr>
        <w:tc>
          <w:tcPr>
            <w:tcW w:w="3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r>
      <w:tr>
        <w:trPr>
          <w:trHeight w:val="219"/>
        </w:trPr>
        <w:tc>
          <w:tcPr>
            <w:tcW w:w="3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Industrial Services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30,653</w:t>
            </w:r>
          </w:p>
        </w:tc>
      </w:tr>
      <w:tr>
        <w:trPr>
          <w:trHeight w:val="219"/>
        </w:trPr>
        <w:tc>
          <w:tcPr>
            <w:tcW w:w="38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7"/>
                <w:szCs w:val="17"/>
                <w:color w:val="auto"/>
              </w:rPr>
              <w:t>Custom Power Solutions</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41,054</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53,176</w:t>
            </w:r>
          </w:p>
        </w:tc>
      </w:tr>
      <w:tr>
        <w:trPr>
          <w:trHeight w:val="212"/>
        </w:trPr>
        <w:tc>
          <w:tcPr>
            <w:tcW w:w="3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83,829</w:t>
            </w:r>
          </w:p>
        </w:tc>
      </w:tr>
      <w:tr>
        <w:trPr>
          <w:trHeight w:val="219"/>
        </w:trPr>
        <w:tc>
          <w:tcPr>
            <w:tcW w:w="3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69,033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68,815</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129,300</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138,063</w:t>
            </w:r>
          </w:p>
        </w:tc>
      </w:tr>
      <w:tr>
        <w:trPr>
          <w:trHeight w:val="237"/>
        </w:trPr>
        <w:tc>
          <w:tcPr>
            <w:tcW w:w="380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jc w:val="center"/>
              <w:ind w:left="34"/>
              <w:spacing w:after="0"/>
              <w:rPr>
                <w:sz w:val="20"/>
                <w:szCs w:val="20"/>
                <w:color w:val="auto"/>
              </w:rPr>
            </w:pPr>
            <w:r>
              <w:rPr>
                <w:rFonts w:ascii="Times New Roman" w:cs="Times New Roman" w:eastAsia="Times New Roman" w:hAnsi="Times New Roman"/>
                <w:sz w:val="17"/>
                <w:szCs w:val="17"/>
                <w:color w:val="auto"/>
              </w:rPr>
              <w:t>Three Months Ended March 31, 2023</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jc w:val="center"/>
              <w:ind w:right="40"/>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6"/>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color w:val="auto"/>
                <w:w w:val="99"/>
              </w:rPr>
              <w:t>Solutions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92,392</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50,951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512,409</w:t>
            </w:r>
          </w:p>
        </w:tc>
      </w:tr>
      <w:tr>
        <w:trPr>
          <w:trHeight w:val="219"/>
        </w:trPr>
        <w:tc>
          <w:tcPr>
            <w:tcW w:w="3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6,079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56,472</w:t>
            </w:r>
          </w:p>
        </w:tc>
      </w:tr>
      <w:tr>
        <w:trPr>
          <w:trHeight w:val="237"/>
        </w:trPr>
        <w:tc>
          <w:tcPr>
            <w:tcW w:w="380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141,120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52,616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jc w:val="center"/>
              <w:ind w:left="34"/>
              <w:spacing w:after="0"/>
              <w:rPr>
                <w:sz w:val="20"/>
                <w:szCs w:val="20"/>
                <w:color w:val="auto"/>
              </w:rPr>
            </w:pPr>
            <w:r>
              <w:rPr>
                <w:rFonts w:ascii="Times New Roman" w:cs="Times New Roman" w:eastAsia="Times New Roman" w:hAnsi="Times New Roman"/>
                <w:sz w:val="17"/>
                <w:szCs w:val="17"/>
                <w:color w:val="auto"/>
              </w:rPr>
              <w:t>Three Months Ended March 31, 2022</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jc w:val="center"/>
              <w:ind w:right="40"/>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6"/>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2"/>
        </w:trPr>
        <w:tc>
          <w:tcPr>
            <w:tcW w:w="3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7"/>
                <w:szCs w:val="17"/>
                <w:color w:val="auto"/>
                <w:w w:val="99"/>
              </w:rPr>
              <w:t>Solutions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85,722</w:t>
            </w:r>
          </w:p>
        </w:tc>
        <w:tc>
          <w:tcPr>
            <w:tcW w:w="560" w:type="dxa"/>
            <w:vAlign w:val="bottom"/>
            <w:gridSpan w:val="5"/>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39,924</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64,346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450,398</w:t>
            </w:r>
          </w:p>
        </w:tc>
      </w:tr>
      <w:tr>
        <w:trPr>
          <w:trHeight w:val="219"/>
        </w:trPr>
        <w:tc>
          <w:tcPr>
            <w:tcW w:w="3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51,195</w:t>
            </w:r>
          </w:p>
        </w:tc>
      </w:tr>
      <w:tr>
        <w:trPr>
          <w:trHeight w:val="237"/>
        </w:trPr>
        <w:tc>
          <w:tcPr>
            <w:tcW w:w="380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41,733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jc w:val="center"/>
              <w:ind w:left="34"/>
              <w:spacing w:after="0"/>
              <w:rPr>
                <w:sz w:val="20"/>
                <w:szCs w:val="20"/>
                <w:color w:val="auto"/>
              </w:rPr>
            </w:pPr>
            <w:r>
              <w:rPr>
                <w:rFonts w:ascii="Times New Roman" w:cs="Times New Roman" w:eastAsia="Times New Roman" w:hAnsi="Times New Roman"/>
                <w:sz w:val="17"/>
                <w:szCs w:val="17"/>
                <w:color w:val="auto"/>
              </w:rPr>
              <w:t>Six Months Ended March 31, 2023</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0"/>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60"/>
              <w:spacing w:after="0" w:line="170" w:lineRule="exact"/>
              <w:rPr>
                <w:sz w:val="20"/>
                <w:szCs w:val="20"/>
                <w:color w:val="auto"/>
              </w:rPr>
            </w:pPr>
            <w:r>
              <w:rPr>
                <w:rFonts w:ascii="Times New Roman" w:cs="Times New Roman" w:eastAsia="Times New Roman" w:hAnsi="Times New Roman"/>
                <w:sz w:val="17"/>
                <w:szCs w:val="17"/>
                <w:color w:val="auto"/>
              </w:rPr>
              <w:t>Infrastructure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3"/>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Solutions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179,666</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98,497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117,551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1,019,904</w:t>
            </w:r>
          </w:p>
        </w:tc>
      </w:tr>
      <w:tr>
        <w:trPr>
          <w:trHeight w:val="219"/>
        </w:trPr>
        <w:tc>
          <w:tcPr>
            <w:tcW w:w="37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108,699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3,403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123,851</w:t>
            </w:r>
          </w:p>
        </w:tc>
      </w:tr>
      <w:tr>
        <w:trPr>
          <w:trHeight w:val="232"/>
        </w:trPr>
        <w:tc>
          <w:tcPr>
            <w:tcW w:w="3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288,365</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129,300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0"/>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jc w:val="center"/>
              <w:ind w:left="34"/>
              <w:spacing w:after="0"/>
              <w:rPr>
                <w:sz w:val="20"/>
                <w:szCs w:val="20"/>
                <w:color w:val="auto"/>
              </w:rPr>
            </w:pPr>
            <w:r>
              <w:rPr>
                <w:rFonts w:ascii="Times New Roman" w:cs="Times New Roman" w:eastAsia="Times New Roman" w:hAnsi="Times New Roman"/>
                <w:sz w:val="17"/>
                <w:szCs w:val="17"/>
                <w:color w:val="auto"/>
              </w:rPr>
              <w:t>Six Months Ended March 31, 2022</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0"/>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60"/>
              <w:spacing w:after="0" w:line="170" w:lineRule="exact"/>
              <w:rPr>
                <w:sz w:val="20"/>
                <w:szCs w:val="20"/>
                <w:color w:val="auto"/>
              </w:rPr>
            </w:pPr>
            <w:r>
              <w:rPr>
                <w:rFonts w:ascii="Times New Roman" w:cs="Times New Roman" w:eastAsia="Times New Roman" w:hAnsi="Times New Roman"/>
                <w:sz w:val="17"/>
                <w:szCs w:val="17"/>
                <w:color w:val="auto"/>
              </w:rPr>
              <w:t>Infrastructure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3"/>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Solutions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174,144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129,206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885,909</w:t>
            </w:r>
          </w:p>
        </w:tc>
      </w:tr>
      <w:tr>
        <w:trPr>
          <w:trHeight w:val="219"/>
        </w:trPr>
        <w:tc>
          <w:tcPr>
            <w:tcW w:w="37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83,884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8,857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96,193</w:t>
            </w:r>
          </w:p>
        </w:tc>
      </w:tr>
      <w:tr>
        <w:trPr>
          <w:trHeight w:val="237"/>
        </w:trPr>
        <w:tc>
          <w:tcPr>
            <w:tcW w:w="38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258,028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March 31, 2023, Accounts receivable included $11,608 of unbilled receivables for which we have an unconditional right to bill.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4" w:name="page15"/>
    <w:bookmarkEnd w:id="14"/>
    <w:p>
      <w:pPr>
        <w:spacing w:after="0" w:line="287" w:lineRule="auto"/>
        <w:rPr>
          <w:sz w:val="20"/>
          <w:szCs w:val="20"/>
          <w:color w:val="auto"/>
        </w:rPr>
      </w:pPr>
      <w:r>
        <w:rPr>
          <w:rFonts w:ascii="Times New Roman" w:cs="Times New Roman" w:eastAsia="Times New Roman" w:hAnsi="Times New Roman"/>
          <w:sz w:val="17"/>
          <w:szCs w:val="17"/>
          <w:color w:val="auto"/>
        </w:rPr>
        <w:t>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trade receivables due in one year or less, we do not have any other financial assets that are past due or are on non-accrual status.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20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2023 and 2022, we recognized revenue of $52,350 and $45,115 related to our contract liabilities at October 1, 2022 and 2021,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March 31, 2023, we had remaining performance obligations of $1,012,111. The Company expects to recognize revenue on approximately $833,212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six months ended March 31, 2023,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26"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$150,000 under our revolving credit facility. The Amended Credit Agreement, which matures on September 30, 2026, contains customary affirmative, negative and financial covenants as disclosed in Item 7 of our Annual Report on Form 10-K for the fiscal year ended September 30, 2022. As of March 31, 2023, the Company was in compliance with the financial covenants under the Amended Credit Agreement.</w:t>
      </w:r>
    </w:p>
    <w:p>
      <w:pPr>
        <w:spacing w:after="0" w:line="19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March 31, 2023 and September 30, 2022, we had $15,111 and $82,659, respectively, in borrowings outstanding under our revolving credit facility. At March 31, 2023, we also had $4,366 in outstanding letters of credit and total availability of $127,834 under our revolving credit facility without triggering the financial covenants under the Amended Credit Facility.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(loss) per share for the three and six months ended March 31, 2023 and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IES Holdings, Inc.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21,551</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 of IES Holdings, Inc.</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20,170,824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20,772,426</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20,387,796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20,772,426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stockholders of IES Holdings, Inc.:</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486"/>
        </w:trPr>
        <w:tc>
          <w:tcPr>
            <w:tcW w:w="8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47,953</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9,052</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r>
      <w:tr>
        <w:trPr>
          <w:trHeight w:val="21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20,206,814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20,737,253</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402,176</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20,414,492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21,139,429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r>
    </w:tbl>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 the three and six months ended March 31, 2023 and the six months ended March 31, 2022, the average price of our common shares exceeded the exercise price of all of our outstanding stock options; therefore, all of our outstanding stock options were included in the computation of diluted earnings per share. For the three months ended March 31, 2023 and the six months ended March 31, 2022, all potentially dilutive unvested performance awards were included in the calculation of diluted earnings per share. For the six months ended March 31, 2023, the computation of diluted earnings per share excluded certain unvested performance awards as the inclusion of such instruments would have been anti-dilutive. For the three months ended March 31, 2022, the computation of diluted loss per share excluded our outstanding stock options and unvested performance awards as the inclusion of such instruments would have had an anti-dilutive impact on the Company's loss per share.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52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6" w:name="page17"/>
    <w:bookmarkEnd w:id="16"/>
    <w:p>
      <w:pPr>
        <w:ind w:right="4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three and six months ended March 31, 2023 and 2022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5"/>
                <w:szCs w:val="15"/>
                <w:color w:val="auto"/>
              </w:rPr>
              <w:t>Three Months Ended March 31, 2023</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141,120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306,112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568,881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115,957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251,281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38,421</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62,296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467,955</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25,163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100,926</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13,386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37,999</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69,349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11,780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31,610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6,864</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389,946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889,088</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5"/>
                <w:szCs w:val="15"/>
                <w:color w:val="auto"/>
              </w:rPr>
              <w:t>Three Months Ended March 31, 2022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130,639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260,406</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68,815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501,593</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119,518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214,862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34,672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74,034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443,086</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 (loss)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45,544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58,507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10,978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33,576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6,391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8,448</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63,430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11,899</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6,156</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6,707</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171,929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363,921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45,851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831,239</w:t>
            </w:r>
          </w:p>
        </w:tc>
        <w:tc>
          <w:tcPr>
            <w:tcW w:w="0" w:type="dxa"/>
            <w:vAlign w:val="bottom"/>
          </w:tcPr>
          <w:p>
            <w:pPr>
              <w:spacing w:after="0"/>
              <w:rPr>
                <w:sz w:val="1"/>
                <w:szCs w:val="1"/>
                <w:color w:val="auto"/>
              </w:rPr>
            </w:pPr>
          </w:p>
        </w:tc>
      </w:tr>
      <w:tr>
        <w:trPr>
          <w:trHeight w:val="539"/>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Six Months Ended March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288,365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624,190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1,143,755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241,464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509,740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77,238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118,949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947,391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46,901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114,450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24,662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196,364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25,683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77,050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11,751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12,089</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137,117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(13,134)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(13,162)</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37,268</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(10,544)</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72,271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13,252</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1,122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3,087</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389,946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5"/>
                <w:szCs w:val="15"/>
                <w:color w:val="auto"/>
              </w:rPr>
              <w:t>Six Months Ended March 31, 2022</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258,028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502,182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83,829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138,063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982,102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226,408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69,048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134,412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843,868</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31,620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138,234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22,363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64,571</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12,449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15,716</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7,733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122,832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12,370</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1,344</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7,891</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11,139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21,627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171,929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363,921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831,239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608,610 shares were available for issuance at March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in 2019 authorized the repurchase from time to time of up to an additional 1.0 million shares under the program. In December 2022, our Board terminated the remaining authorization under this program, and approved a new $40,000 share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4,048 and 223,779 shares, respectively, of our common stock during the three and six months ended March 31, 2023 in open market transactions at an average price of $34.97 and $31.05, respectively, per share. During the three and six months ended March 31, 2022, we repurchased 2,587 and 59,002 shares, respectively, of our common stock in open market transactions at an average price of $49.00 and $46.81, respectively,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2023, we issued 71,013 shares of common stock from treasury stock to employees and repurchased 19,347 shares of common stock from our employees to satisfy statutory tax withholding requirements upon the vesting of certain performance phantom stock units under the Equity Incentive Plan. In addition, 266 restricted shares were forfeited and returned to treasury stock. During the six months ended March 31, 2023, we issued 2,000 unrestricted shares to satisfy the exercise of outstanding options.</w:t>
      </w:r>
    </w:p>
    <w:p>
      <w:pPr>
        <w:spacing w:after="0" w:line="1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2022, we issued 73,627 shares of common stock from treasury stock to employees and repurchased 45,198 shares of common stock from our employees to satisfy statutory tax withholding requirements upon the vesting of certain performance phantom stock units under the Equity Incentive Plan. In addition, we issued 83,540 shares from treasury stock to satisfy the vesting of Director PSUs (as defined below) in conjunction with the departure of a Board member.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granted no restricted shares to executives during the six months ended March 31, 2023. Of the awards previously granted, 13,373 shares vested and 266 shares were forfeited. We did not recognize any compensation expense related to restricted stock awards during the three months ended March 31, 2023, and during the three months ended March 31, 2022 we recognized $36 in compensation expense related to restricted stock awards. During the six months ended March 31, 2023 and 2022, we recognized $25 and $71, respectively, in compensation expense related to restricted stock awards. At March 31, 2023, we had no remaining unvested restricted shares or unamortized compensation cost related to outstanding unvested restricted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We recognized compensation expense related to these grants of $94 and $96 during the three months ended March 31, 2023 and 2022, respectively, and $190 and $193 during the six months ended March 31, 2023 and 2022,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As of March 31, 2023, the Company had outstanding Employee PSUs, which, subject to the achievement of certain performance metrics, could result in the issuance of 362,802 shares of common stock. During the six months ended March 31, 2023, we granted 130,739 Employee PSUs, 12,885 were forfeited, and 71,013 vested. During the three months ended March 31, 2023 and 2022, we recognized $958 and $864, respectively, in compensation expense related to Employee PSU grants. During the six months ended March 31, 2023 and 2022, we recognized $1,740 and $1,632, respectively, in compensation expense related to Employee PSU grants.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At March 31, 2023, financial assets and liabilities measured at fair value on a recurring basis were limited to our Executive Deferred Compensation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19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Financial assets and liabilities measured at fair value on a recurring basis as of March 31, 2023 and September 30, 2022,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March 31, 2023</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right"/>
              <w:ind w:right="274"/>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0" w:type="dxa"/>
            <w:vAlign w:val="bottom"/>
          </w:tcPr>
          <w:p>
            <w:pPr>
              <w:spacing w:after="0"/>
              <w:rPr>
                <w:sz w:val="1"/>
                <w:szCs w:val="1"/>
                <w:color w:val="auto"/>
              </w:rPr>
            </w:pPr>
          </w:p>
        </w:tc>
      </w:tr>
      <w:tr>
        <w:trPr>
          <w:trHeight w:val="237"/>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right"/>
              <w:ind w:right="274"/>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0" w:type="dxa"/>
            <w:vAlign w:val="bottom"/>
          </w:tcPr>
          <w:p>
            <w:pPr>
              <w:spacing w:after="0"/>
              <w:rPr>
                <w:sz w:val="1"/>
                <w:szCs w:val="1"/>
                <w:color w:val="auto"/>
              </w:rPr>
            </w:pPr>
          </w:p>
        </w:tc>
      </w:tr>
      <w:tr>
        <w:trPr>
          <w:trHeight w:val="237"/>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At March 31, 2023, we estimated the fair value of this contingent consideration liability at $4,394. The table below presents the change in fair value of this obligation, which used significant unobservable inputs (Level 3).</w:t>
      </w:r>
    </w:p>
    <w:p>
      <w:pPr>
        <w:spacing w:after="0" w:line="128" w:lineRule="exact"/>
        <w:rPr>
          <w:sz w:val="20"/>
          <w:szCs w:val="20"/>
          <w:color w:val="auto"/>
        </w:rPr>
      </w:pPr>
    </w:p>
    <w:tbl>
      <w:tblPr>
        <w:tblLayout w:type="fixed"/>
        <w:tblInd w:w="2360" w:type="dxa"/>
        <w:tblCellMar>
          <w:top w:w="0" w:type="dxa"/>
          <w:left w:w="0" w:type="dxa"/>
          <w:bottom w:w="0" w:type="dxa"/>
          <w:right w:w="0" w:type="dxa"/>
        </w:tblCellMar>
      </w:tblPr>
      <w:tr>
        <w:trPr>
          <w:trHeight w:val="195"/>
        </w:trPr>
        <w:tc>
          <w:tcPr>
            <w:tcW w:w="3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Contingent Consideration</w:t>
            </w:r>
          </w:p>
        </w:tc>
      </w:tr>
      <w:tr>
        <w:trPr>
          <w:trHeight w:val="228"/>
        </w:trPr>
        <w:tc>
          <w:tcPr>
            <w:tcW w:w="3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Agreements</w:t>
            </w:r>
          </w:p>
        </w:tc>
      </w:tr>
      <w:tr>
        <w:trPr>
          <w:trHeight w:val="22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2022</w:t>
            </w:r>
          </w:p>
        </w:tc>
        <w:tc>
          <w:tcPr>
            <w:tcW w:w="1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w:t>
            </w:r>
          </w:p>
        </w:tc>
      </w:tr>
      <w:tr>
        <w:trPr>
          <w:trHeight w:val="21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w:t>
            </w:r>
          </w:p>
        </w:tc>
        <w:tc>
          <w:tcPr>
            <w:tcW w:w="13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March 31, 2023</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INVENTORY</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March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73,482</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96,333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March 31, 2023, which was unchanged from September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Infrastructure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5"/>
          </w:tcPr>
          <w:p>
            <w:pPr>
              <w:jc w:val="center"/>
              <w:ind w:right="540"/>
              <w:spacing w:after="0"/>
              <w:rPr>
                <w:sz w:val="20"/>
                <w:szCs w:val="20"/>
                <w:color w:val="auto"/>
              </w:rPr>
            </w:pPr>
            <w:r>
              <w:rPr>
                <w:rFonts w:ascii="Times New Roman" w:cs="Times New Roman" w:eastAsia="Times New Roman" w:hAnsi="Times New Roman"/>
                <w:sz w:val="17"/>
                <w:szCs w:val="17"/>
                <w:color w:val="auto"/>
              </w:rPr>
              <w:t>Commercial &amp;</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Residential</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Solutions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auto"/>
              </w:rPr>
              <w:t>Industrial</w:t>
            </w:r>
          </w:p>
        </w:tc>
        <w:tc>
          <w:tcPr>
            <w:tcW w:w="360" w:type="dxa"/>
            <w:vAlign w:val="bottom"/>
          </w:tcPr>
          <w:p>
            <w:pPr>
              <w:spacing w:after="0"/>
              <w:rPr>
                <w:sz w:val="20"/>
                <w:szCs w:val="20"/>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51,370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7"/>
                <w:szCs w:val="17"/>
                <w:color w:val="auto"/>
                <w:w w:val="99"/>
              </w:rPr>
              <w:t>March 31, 2023</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5"/>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4"/>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6"/>
          </w:tcPr>
          <w:p>
            <w:pPr>
              <w:jc w:val="center"/>
              <w:ind w:right="1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19"/>
                <w:szCs w:val="19"/>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(47,853)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rPr>
              <w:t>20</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September 30, 2022</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60"/>
        </w:trPr>
        <w:tc>
          <w:tcPr>
            <w:tcW w:w="4840" w:type="dxa"/>
            <w:vAlign w:val="bottom"/>
          </w:tcPr>
          <w:p>
            <w:pPr>
              <w:spacing w:after="0"/>
              <w:rPr>
                <w:sz w:val="13"/>
                <w:szCs w:val="13"/>
                <w:color w:val="auto"/>
              </w:rPr>
            </w:pPr>
          </w:p>
        </w:tc>
        <w:tc>
          <w:tcPr>
            <w:tcW w:w="1460" w:type="dxa"/>
            <w:vAlign w:val="bottom"/>
            <w:gridSpan w:val="4"/>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154"/>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40" w:type="dxa"/>
            <w:vAlign w:val="bottom"/>
          </w:tcPr>
          <w:p>
            <w:pPr>
              <w:spacing w:after="0"/>
              <w:rPr>
                <w:sz w:val="20"/>
                <w:szCs w:val="20"/>
                <w:color w:val="auto"/>
              </w:rPr>
            </w:pPr>
          </w:p>
        </w:tc>
        <w:tc>
          <w:tcPr>
            <w:tcW w:w="16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13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420" w:type="dxa"/>
            <w:vAlign w:val="bottom"/>
          </w:tcPr>
          <w:p>
            <w:pPr>
              <w:spacing w:after="0"/>
              <w:rPr>
                <w:sz w:val="20"/>
                <w:szCs w:val="20"/>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4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r>
      <w:tr>
        <w:trPr>
          <w:trHeight w:val="219"/>
        </w:trPr>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9"/>
        </w:trPr>
        <w:tc>
          <w:tcPr>
            <w:tcW w:w="4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61,037</w:t>
            </w:r>
          </w:p>
        </w:tc>
      </w:tr>
      <w:tr>
        <w:trPr>
          <w:trHeight w:val="219"/>
        </w:trPr>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4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4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117,359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(45,423)</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71,936</w:t>
            </w:r>
          </w:p>
        </w:tc>
      </w:tr>
      <w:tr>
        <w:trPr>
          <w:trHeight w:val="20"/>
        </w:trPr>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On June 22, 2021, the United States Department of Labor Wage and Hour Division (the “DOL”) notified IES Residential, Inc. (“IESR”), a wholly-owned subsidiary of the Company, that the DOL had commenced an administrative investigation of IESR’s compliance with laws regulating employee wage payment. The inquiry concerned record keeping with respect to certain Arizona employees who are paid on a piece rate basis. We entered into a settlement with the DOL in November 2022, resolving this matter. Costs associated with this matter, which did not have a material impact on our results of operations, were accrued as a liability as of September 30, 2022.</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At September 30, 2022, we had an aggregate $10,451 of trade accounts receivable where payment had been delayed as a result of contractual disputes and against which we had recorded a reserve of $3,095. During the six months ended March 31, 2023, we collected $5,140 related to these receivables. We believe that we are contractually entitled to the remaining amounts owed to us, and intend to vigorously pursue recovery. At March 31, 2023, the remaining book value of receivables and retainage related to these contractual disputes, net of associated reserves, was $1,893.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March 31, 2023 and September 30, 2022, we had $7,632 and $7,693,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2023 and September 30, 2022, $4,166 and $3,878, respectively, of our outstanding letters of credit was utilized to collateralize our insurance program.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 of March 31, 2023, the estimated cost to complete our bonded projects was approximately $129,521.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2023, we had commitments of $6,029 outstanding under agreements to purchase copper wire and other materials over the next 12 months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22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Current operating and finance lease liabilities of $17,227 and $4,040, respectively, as of March 31, 2023, and $17,319 and $2,928, respectively, as of September 30, 2022,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March 31, 2023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5"/>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1"/>
                <w:szCs w:val="21"/>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19,261</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15,402</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10,723</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5,724</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7,300</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75,103</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8,111</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13,081</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March 31, 2023 is $4,704.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5"/>
        </w:trPr>
        <w:tc>
          <w:tcPr>
            <w:tcW w:w="4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2"/>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March 31, 2023</w:t>
            </w:r>
          </w:p>
        </w:tc>
        <w:tc>
          <w:tcPr>
            <w:tcW w:w="180" w:type="dxa"/>
            <w:vAlign w:val="bottom"/>
          </w:tcPr>
          <w:p>
            <w:pPr>
              <w:spacing w:after="0"/>
              <w:rPr>
                <w:sz w:val="18"/>
                <w:szCs w:val="18"/>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March 31, 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March 31, 2023</w:t>
            </w:r>
          </w:p>
        </w:tc>
        <w:tc>
          <w:tcPr>
            <w:tcW w:w="180" w:type="dxa"/>
            <w:vAlign w:val="bottom"/>
          </w:tcPr>
          <w:p>
            <w:pPr>
              <w:spacing w:after="0"/>
              <w:rPr>
                <w:sz w:val="18"/>
                <w:szCs w:val="18"/>
                <w:color w:val="auto"/>
              </w:rPr>
            </w:pP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March 31, 2022</w:t>
            </w:r>
          </w:p>
        </w:tc>
      </w:tr>
      <w:tr>
        <w:trPr>
          <w:trHeight w:val="212"/>
        </w:trPr>
        <w:tc>
          <w:tcPr>
            <w:tcW w:w="4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8,160</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19"/>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2"/>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1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12"/>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10,600</w:t>
            </w: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94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5"/>
        </w:trPr>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5"/>
          </w:tcPr>
          <w:p>
            <w:pPr>
              <w:ind w:left="760"/>
              <w:spacing w:after="0"/>
              <w:rPr>
                <w:sz w:val="20"/>
                <w:szCs w:val="20"/>
                <w:color w:val="auto"/>
              </w:rPr>
            </w:pPr>
            <w:r>
              <w:rPr>
                <w:rFonts w:ascii="Times New Roman" w:cs="Times New Roman" w:eastAsia="Times New Roman" w:hAnsi="Times New Roman"/>
                <w:sz w:val="17"/>
                <w:szCs w:val="17"/>
                <w:color w:val="auto"/>
              </w:rPr>
              <w:t>Three Months Ended</w:t>
            </w:r>
          </w:p>
        </w:tc>
        <w:tc>
          <w:tcPr>
            <w:tcW w:w="220" w:type="dxa"/>
            <w:vAlign w:val="bottom"/>
          </w:tcPr>
          <w:p>
            <w:pPr>
              <w:spacing w:after="0"/>
              <w:rPr>
                <w:sz w:val="21"/>
                <w:szCs w:val="21"/>
                <w:color w:val="auto"/>
              </w:rPr>
            </w:pPr>
          </w:p>
        </w:tc>
        <w:tc>
          <w:tcPr>
            <w:tcW w:w="3200" w:type="dxa"/>
            <w:vAlign w:val="bottom"/>
            <w:gridSpan w:val="5"/>
          </w:tcPr>
          <w:p>
            <w:pPr>
              <w:jc w:val="right"/>
              <w:ind w:right="97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2"/>
        </w:trPr>
        <w:tc>
          <w:tcPr>
            <w:tcW w:w="4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March 31, 2023</w:t>
            </w: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March 31,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March 31, 2023</w:t>
            </w:r>
          </w:p>
        </w:tc>
        <w:tc>
          <w:tcPr>
            <w:tcW w:w="3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March 31, 2022</w:t>
            </w:r>
          </w:p>
        </w:tc>
      </w:tr>
      <w:tr>
        <w:trPr>
          <w:trHeight w:val="21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5,867</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11,818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9,351</w:t>
            </w:r>
          </w:p>
        </w:tc>
      </w:tr>
      <w:tr>
        <w:trPr>
          <w:trHeight w:val="219"/>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22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216</w:t>
            </w:r>
          </w:p>
        </w:tc>
        <w:tc>
          <w:tcPr>
            <w:tcW w:w="2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366</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168"/>
        </w:trPr>
        <w:tc>
          <w:tcPr>
            <w:tcW w:w="432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3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2,872</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9,191</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w:t>
            </w:r>
          </w:p>
        </w:tc>
      </w:tr>
      <w:tr>
        <w:trPr>
          <w:trHeight w:val="168"/>
        </w:trPr>
        <w:tc>
          <w:tcPr>
            <w:tcW w:w="432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2"/>
        </w:trPr>
        <w:tc>
          <w:tcPr>
            <w:tcW w:w="4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1,882</w:t>
            </w:r>
          </w:p>
        </w:tc>
        <w:tc>
          <w:tcPr>
            <w:tcW w:w="2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4,826</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w:t>
            </w:r>
          </w:p>
        </w:tc>
      </w:tr>
      <w:tr>
        <w:trPr>
          <w:trHeight w:val="567"/>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gridSpan w:val="6"/>
          </w:tcPr>
          <w:p>
            <w:pPr>
              <w:jc w:val="right"/>
              <w:ind w:right="900"/>
              <w:spacing w:after="0"/>
              <w:rPr>
                <w:sz w:val="20"/>
                <w:szCs w:val="20"/>
                <w:color w:val="auto"/>
              </w:rPr>
            </w:pPr>
            <w:r>
              <w:rPr>
                <w:rFonts w:ascii="Times New Roman" w:cs="Times New Roman" w:eastAsia="Times New Roman" w:hAnsi="Times New Roman"/>
                <w:sz w:val="17"/>
                <w:szCs w:val="17"/>
                <w:color w:val="auto"/>
              </w:rPr>
              <w:t>March 31, 2023</w:t>
            </w:r>
          </w:p>
        </w:tc>
        <w:tc>
          <w:tcPr>
            <w:tcW w:w="178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September 30, 2022</w:t>
            </w:r>
          </w:p>
        </w:tc>
      </w:tr>
      <w:tr>
        <w:trPr>
          <w:trHeight w:val="21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years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years</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3.8 years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years</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AND DIVESTITURES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completed no acquisitions during the six months ended March 31, 2023 or during the year ended September 30, 2022.</w:t>
      </w:r>
    </w:p>
    <w:p>
      <w:pPr>
        <w:spacing w:after="0" w:line="2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Condensed Consolidated Statements of Comprehensive Income for the six months ended March 31, 2023. The disposition of STR, which had operated as part of our Commercial &amp; Industrial segment, will not have a material impact on our ongoing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2022,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2022,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Federal Reserve raised the target federal funds rate throughout calendar year 2022 and in the first quarter of calendar year 2023, and has announced an expectation that it will continue to raise the target rate later in calendar year 2023. This has resulted in higher mortgage rates, which when combined with elevated materials and labor costs, have had a substantial impact on the affordability of housing. There continue to be several trends, such as rising household formation and population growth in our key markets, that we expect will drive long-term demand for our services in the single-family housing market. However, as calendar year 2023 progresses, we do expect decreased housing affordability to cause a near-term decrease in demand for our services in this market. Within the various other end markets we serve, our customers' capital budgets for new construction projects may be impacted by broader economic, technological or other factors.</w:t>
      </w:r>
    </w:p>
    <w:p>
      <w:pPr>
        <w:spacing w:after="0" w:line="19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recent years, the COVID-19 pandemic and its impact on markets, the supply chain and the labor force influenced trends affecting our business. While commodity prices for some of the materials we procure have become less volatile, procurement and the supply chain remain areas of focus for us. We have also experienced in the past, and may again experience in the future, workforce disruptions related to exposure to, or illness from, COVID-19, resulting in production inefficiencies and delays, higher overtime costs, and the need to outsource activities or use more expensive contract labor. An inability to procure materials in a timely manner, to complete work on schedule, and to reflect higher materials or labor costs in our pricing to customers has had, and could continue to have, a significant impact on our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12529"/>
        </w:rPr>
        <w:t xml:space="preserve"> of our Annual Report on Form 10-K for the fiscal year ended </w:t>
      </w:r>
      <w:r>
        <w:rPr>
          <w:rFonts w:ascii="Times New Roman" w:cs="Times New Roman" w:eastAsia="Times New Roman" w:hAnsi="Times New Roman"/>
          <w:sz w:val="17"/>
          <w:szCs w:val="17"/>
          <w:color w:val="000000"/>
        </w:rPr>
        <w:t>September 30, 2022</w:t>
      </w:r>
      <w:r>
        <w:rPr>
          <w:rFonts w:ascii="Times New Roman" w:cs="Times New Roman" w:eastAsia="Times New Roman" w:hAnsi="Times New Roman"/>
          <w:sz w:val="17"/>
          <w:szCs w:val="17"/>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20" w:type="dxa"/>
            <w:vAlign w:val="bottom"/>
            <w:gridSpan w:val="10"/>
          </w:tcPr>
          <w:p>
            <w:pPr>
              <w:jc w:val="right"/>
              <w:ind w:right="16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467,955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88.3</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 (loss)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(loss)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Consolidated revenues for the three months ended March 31, 2023, were $67.3 million higher than for the three months ended March 31, 2022, an increase of 13.4%, with increases at all four of our operating segments, driven by strong demand across our end markets. See further discussion below of changes in revenues for our individual segments.</w:t>
      </w:r>
    </w:p>
    <w:p>
      <w:pPr>
        <w:spacing w:after="0" w:line="19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March 31, 2023 increased $42.4 million compared to the three months ended March 31, 2022. Our overall gross profit percentage was 17.7% during the three months ended March 31, 2023, as compared to 11.7% during the three months ended March 31, 2022. Gross profit as a percentage of revenue increased at all four of our operating segments. See further discussion below of changes in gross margin for our individual segments.</w:t>
      </w:r>
    </w:p>
    <w:p>
      <w:pPr>
        <w:spacing w:after="0" w:line="197"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2023, our selling, general and administrative expenses were $69.3 million, an increase of $5.9 million, or 9.3%, over the three months ended March 31, 2022, driven largely by increased personnel costs at our Residential and Communications operating segments in connection with their growth, including higher incentive compensation at the division level as a result of higher earnings. Selling, general and administrative expenses as a percent of revenue decreased from 12.6% for the three months ended March 31, 2022 to 12.2% for the three months ended March 31, 2023,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25" w:name="page26"/>
    <w:bookmarkEnd w:id="25"/>
    <w:tbl>
      <w:tblPr>
        <w:tblLayout w:type="fixed"/>
        <w:tblInd w:w="12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3"/>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r>
      <w:tr>
        <w:trPr>
          <w:trHeight w:val="203"/>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10"/>
          </w:tcPr>
          <w:p>
            <w:pPr>
              <w:ind w:left="9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947,391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82.8</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85.9</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shd w:val="clear" w:color="auto" w:fill="CCEEFF"/>
          </w:tcPr>
          <w:p>
            <w:pPr>
              <w:spacing w:after="0"/>
              <w:rPr>
                <w:sz w:val="18"/>
                <w:szCs w:val="18"/>
                <w:color w:val="auto"/>
              </w:rPr>
            </w:pPr>
          </w:p>
        </w:tc>
      </w:tr>
      <w:tr>
        <w:trPr>
          <w:trHeight w:val="258"/>
        </w:trPr>
        <w:tc>
          <w:tcPr>
            <w:tcW w:w="57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22"/>
                <w:szCs w:val="22"/>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Consolidated revenues for the six months ended March 31, 2023, were $161.7 million higher than for the six months ended March 31, 2022, an increase of 16.5%, with increases at our Communications, Residential and Infrastructure Solutions operating segments, slightly offset by a decrease at our Commercial &amp; Industrial segment. See further discussion below of changes in revenues for our individual segments.</w:t>
      </w:r>
    </w:p>
    <w:p>
      <w:pPr>
        <w:spacing w:after="0" w:line="19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increased to 17.2% during the six months ended March 31, 2023, as compared to 14.1% during the six months ended March 31, 2022. Gross profit as a percentage of revenue increased at all four of our operating segments. See further discussion below of changes in gross margin for our individual segments.</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During the six months ended March 31, 2023, our selling, general and administrative expenses were $137.1 million, an increase of $14.3 million, or 11.6%, over the six months ended March 31, 2022, driven by increased personnel costs, primarily at our Residential operating segment in connection with its growth, including higher incentive compensation at the division level as a result of higher earnings. Selling, general and administrative expenses as a percent of revenue decreased from 12.5% for the six months ended March 31, 2022, to 12.0% for the six months ended March 31, 2023, as we benefited from the increased scale of our operations.</w:t>
      </w:r>
    </w:p>
    <w:p>
      <w:pPr>
        <w:spacing w:after="0" w:line="19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w:t>
      </w:r>
      <w:r>
        <w:rPr>
          <w:rFonts w:ascii="Times New Roman" w:cs="Times New Roman" w:eastAsia="Times New Roman" w:hAnsi="Times New Roman"/>
          <w:sz w:val="17"/>
          <w:szCs w:val="17"/>
          <w:color w:val="auto"/>
        </w:rPr>
        <w:t>s. Our results for the six months ended March 31, 2023 include a pretax gain on sale of $13.0 million from the sale of STR Mechanical, LLC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 on October 7, 2022. STR previously operated as part of our Commercial &amp; Industrial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2023</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2022</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91.5</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$10.5 million during the three months ended March 31, 2023, or 8.0%,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The increase primarily resulted from increased demand from our data center and high-tech manufacturing customers.</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March 31, 2023 increased by $14.0 million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2022. Gross profit as a percentage of revenue increased from 8.5% to 17.8%. During the three months ended March 31, 2022,we expanded our offerings to our data center customers into a new, adjacent service area. As 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6" w:name="page27"/>
    <w:bookmarkEnd w:id="26"/>
    <w:p>
      <w:pPr>
        <w:spacing w:after="0" w:line="287" w:lineRule="auto"/>
        <w:rPr>
          <w:sz w:val="20"/>
          <w:szCs w:val="20"/>
          <w:color w:val="auto"/>
        </w:rPr>
      </w:pPr>
      <w:r>
        <w:rPr>
          <w:rFonts w:ascii="Times New Roman" w:cs="Times New Roman" w:eastAsia="Times New Roman" w:hAnsi="Times New Roman"/>
          <w:sz w:val="17"/>
          <w:szCs w:val="17"/>
          <w:color w:val="auto"/>
        </w:rPr>
        <w:t>result of execution issues in this new area, we recorded $9.3 million of losses in the quarter ended March 31, 2022. Although these projects continued to negatively impact our results throughout fiscal 2022, we have since completed all such projects, and are no longer working in this service area.</w:t>
      </w:r>
    </w:p>
    <w:p>
      <w:pPr>
        <w:spacing w:after="0" w:line="17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$2.4 million, or 21.9%,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March 31, 2023, compared to the three months ended March 31, 2022. The increase is primarily a result of higher personnel cost as we invest in an organizational structure that will enhance the scalability of our business, as well as higher wages in an increasingly competitive labor market.</w:t>
      </w:r>
    </w:p>
    <w:p>
      <w:pPr>
        <w:spacing w:after="0" w:line="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7"/>
          <w:szCs w:val="17"/>
          <w:color w:val="auto"/>
        </w:rPr>
        <w:t>Selling, general and administrative expenses as a percentage of revenue in the Communications segment were 9.5% during the three months ended March 31, 2023, compared to 8.4% for the three months ended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2022</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0"/>
          </w:tcPr>
          <w:p>
            <w:pPr>
              <w:jc w:val="right"/>
              <w:ind w:right="46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241,464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226,408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87.7</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8.7</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$30.3 million during the six months ended March 31, 2023, or 11.8%,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The increase primarily resulted from increased demand from our data center and high-tech manufacturing customers.</w:t>
      </w:r>
    </w:p>
    <w:p>
      <w:pPr>
        <w:spacing w:after="0" w:line="16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six months ended March 31, 2023 increased $15.3 million, or 48.3%, as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Gross profit as a percentage of revenue increased from 12.3% to 16.3%. The increase primarily reflects the impact of certain project losses on gross profit in the six months ended March 31, 2022, as discussed above.</w:t>
      </w:r>
    </w:p>
    <w:p>
      <w:pPr>
        <w:spacing w:after="0" w:line="18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$3.3 million, or 14.8%,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2023, compared to the six months ended March 31, 2022. The increase is a result of higher personnel cost as we invest in an organizational structure that will enhance the scalability of our business, as well as higher wages in an increasingly competitive labor market. Selling, general and administrative expenses as a percentage of revenues in the Communications segment increased from 8.7% during the six months ended March 31, 2022 to 8.9% during the six months ended March 31,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251,281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82.1</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214,862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82.5</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45,544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17.5</w:t>
            </w:r>
          </w:p>
        </w:tc>
        <w:tc>
          <w:tcPr>
            <w:tcW w:w="30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$45.7 million, or 17.6%, during the three months ended March 31, 2023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2022. The increase was driven by the impact of price increases in connection with higher materials costs and continued strong demand, particularly in the multi-family and Florida single-family markets. Single-family revenues increased by $19.1 million and multi-family and other revenues increased $26.6 million for the three months ended March 31, 2023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ind w:right="22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March 31, 2023, our Residential segment's gross profit increased by $9.3 million, or 20.4%,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The increase in gross profit was driven primarily by increased activity, as well as the impact of price increases. Gross profit as a percentage of revenue increased to 17.9% during the three months ended March 31, 2023, from 17.5% for the three months ended March 31, 2022, as prior year gross margins were negatively impacted by higher labor and material costs, but improved incrementally throughout fiscal year 2022 as pricing actions were implemented.</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$4.4 million, or 13.2%,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2023, compared to the three months ended March 31, 2022. The increase was driven by higher personnel costs in connection with business growth, including incentive profit sharing for division management. Selling, general and administrative expenses as a percentage of revenue in the Residential segment decreased to 12.4% during the three months ended March 31, 2023, compared to 12.9% in the three months ended March 31, 2022, as we benefited from the scale of our operations.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2023</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gridSpan w:val="8"/>
          </w:tcPr>
          <w:p>
            <w:pPr>
              <w:jc w:val="center"/>
              <w:ind w:right="4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509,740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81.7</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82.4</w:t>
            </w: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114,450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17.6</w:t>
            </w:r>
          </w:p>
        </w:tc>
        <w:tc>
          <w:tcPr>
            <w:tcW w:w="300" w:type="dxa"/>
            <w:vAlign w:val="bottom"/>
            <w:shd w:val="clear" w:color="auto" w:fill="CCEEFF"/>
          </w:tcPr>
          <w:p>
            <w:pPr>
              <w:spacing w:after="0"/>
              <w:rPr>
                <w:sz w:val="18"/>
                <w:szCs w:val="18"/>
                <w:color w:val="auto"/>
              </w:rPr>
            </w:pPr>
          </w:p>
        </w:tc>
      </w:tr>
      <w:tr>
        <w:trPr>
          <w:trHeight w:val="219"/>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Pr>
          <w:p>
            <w:pPr>
              <w:spacing w:after="0"/>
              <w:rPr>
                <w:sz w:val="19"/>
                <w:szCs w:val="19"/>
                <w:color w:val="auto"/>
              </w:rPr>
            </w:pPr>
          </w:p>
        </w:tc>
      </w:tr>
      <w:tr>
        <w:trPr>
          <w:trHeight w:val="21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37,268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$122.0 million, or 24.3%, during the six months ended March 31, 2023, compared to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2022. The increase was driven by the impact of price increases in connection with higher materials costs and continued strong demand, particularly in the multi-family and Florida single-family markets. Revenue in our single-family business increased by $72.4 million and multi-family and other revenue increased by $49.7 million for the six months ended March 31, 2023 compared to the prior year period.</w:t>
      </w:r>
    </w:p>
    <w:p>
      <w:pPr>
        <w:spacing w:after="0" w:line="19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six months ended March 31, 2023, our Residential segment's gross profit increased by $26.3 million, or 29.8%, as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The increase in gross profit was driven primarily by increased activity, as well as the impact of price increases. Gross margin as a percentage of revenue increased to 18.3% during the six months ended March 31, 2023, from 17.6% during the six months ended March 31, 2022, as prior year gross margins were negatively impacted by higher labor and material costs, but improved incrementally throughout fiscal year 2022 as pricing actions were implemented.</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$12.5 million, or 19.3%,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2023, compared to the six months ended March 31, 2022. The increase was driven by higher personnel costs in connection with business growth, including incentive profit sharing for division management. Selling, general and administrative expenses as a percentage of revenue in the Residential segment decreased to 12.3% during the six months ended March 31, 2023, from 12.9% during the six months ended March 31, 2022, as we benefited from the increased scale of our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7"/>
          </w:tcPr>
          <w:p>
            <w:pPr>
              <w:jc w:val="right"/>
              <w:ind w:right="7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10"/>
          </w:tcPr>
          <w:p>
            <w:pPr>
              <w:jc w:val="right"/>
              <w:ind w:right="5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73.0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34,672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83.1</w:t>
            </w:r>
          </w:p>
        </w:tc>
        <w:tc>
          <w:tcPr>
            <w:tcW w:w="260" w:type="dxa"/>
            <w:vAlign w:val="bottom"/>
            <w:tcBorders>
              <w:bottom w:val="single" w:sz="8" w:color="auto"/>
            </w:tcBorders>
          </w:tcPr>
          <w:p>
            <w:pPr>
              <w:spacing w:after="0"/>
              <w:rPr>
                <w:sz w:val="19"/>
                <w:szCs w:val="19"/>
                <w:color w:val="auto"/>
              </w:rPr>
            </w:pPr>
          </w:p>
        </w:tc>
      </w:tr>
      <w:tr>
        <w:trPr>
          <w:trHeight w:val="21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16.9</w:t>
            </w:r>
          </w:p>
        </w:tc>
        <w:tc>
          <w:tcPr>
            <w:tcW w:w="260" w:type="dxa"/>
            <w:vAlign w:val="bottom"/>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15.3</w:t>
            </w:r>
          </w:p>
        </w:tc>
        <w:tc>
          <w:tcPr>
            <w:tcW w:w="26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9"/>
                <w:szCs w:val="19"/>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8,205</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15.6</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925"/>
        </w:trPr>
        <w:tc>
          <w:tcPr>
            <w:tcW w:w="554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8"/>
        </w:trPr>
        <w:tc>
          <w:tcPr>
            <w:tcW w:w="5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8" w:name="page29"/>
    <w:bookmarkEnd w:id="28"/>
    <w:p>
      <w:pPr>
        <w:ind w:right="64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$10.9 million during the three months ended March 31, 2023, an increase of 26.1%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March 31, 2022, driven primarily by continued strong demand in our generator enclosures business.</w:t>
      </w:r>
    </w:p>
    <w:p>
      <w:pPr>
        <w:spacing w:after="0" w:line="16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March 31, 2023 increased $7.1 million as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Gross profit for the three months ended March 31, 2022 was negatively affected by the impact of supply chain disruptions, COVID-19 related labor inefficiencies, and operating inefficiencies in connection with the relocation of our Tulsa, Oklahoma operation to a new, larger facility in order to accommodate increased demand for our generator enclosure products. Gross profit as a percentage of revenue increased from 16.9% to 27.0%.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2023 decreased $0.4 million when compared to the three months ended March 31, 2022, primarily as a result of a decrease in medical claims cost.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Selling, general and administrative expenses as a percent of revenue decreased from 15.3% to 11.4% as we benefited from the scale of our operations.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2022</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60" w:type="dxa"/>
            <w:vAlign w:val="bottom"/>
            <w:gridSpan w:val="9"/>
          </w:tcPr>
          <w:p>
            <w:pPr>
              <w:jc w:val="center"/>
              <w:ind w:right="3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75.8</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69,048</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82.4</w:t>
            </w:r>
          </w:p>
        </w:tc>
        <w:tc>
          <w:tcPr>
            <w:tcW w:w="300" w:type="dxa"/>
            <w:vAlign w:val="bottom"/>
            <w:tcBorders>
              <w:bottom w:val="single" w:sz="8" w:color="auto"/>
            </w:tcBorders>
          </w:tcPr>
          <w:p>
            <w:pPr>
              <w:spacing w:after="0"/>
              <w:rPr>
                <w:sz w:val="19"/>
                <w:szCs w:val="19"/>
                <w:color w:val="auto"/>
              </w:rPr>
            </w:pPr>
          </w:p>
        </w:tc>
      </w:tr>
      <w:tr>
        <w:trPr>
          <w:trHeight w:val="21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17.6</w:t>
            </w:r>
          </w:p>
        </w:tc>
        <w:tc>
          <w:tcPr>
            <w:tcW w:w="300" w:type="dxa"/>
            <w:vAlign w:val="bottom"/>
            <w:shd w:val="clear" w:color="auto" w:fill="CCEEFF"/>
          </w:tcPr>
          <w:p>
            <w:pPr>
              <w:spacing w:after="0"/>
              <w:rPr>
                <w:sz w:val="18"/>
                <w:szCs w:val="18"/>
                <w:color w:val="auto"/>
              </w:rPr>
            </w:pPr>
          </w:p>
        </w:tc>
      </w:tr>
      <w:tr>
        <w:trPr>
          <w:trHeight w:val="219"/>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14.9</w:t>
            </w:r>
          </w:p>
        </w:tc>
        <w:tc>
          <w:tcPr>
            <w:tcW w:w="300" w:type="dxa"/>
            <w:vAlign w:val="bottom"/>
          </w:tcPr>
          <w:p>
            <w:pPr>
              <w:spacing w:after="0"/>
              <w:rPr>
                <w:sz w:val="19"/>
                <w:szCs w:val="19"/>
                <w:color w:val="auto"/>
              </w:rPr>
            </w:pPr>
          </w:p>
        </w:tc>
      </w:tr>
      <w:tr>
        <w:trPr>
          <w:trHeight w:val="219"/>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$18.1 million, or 21.6%, during the six months ended March 31, 2023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The increase in revenue was driven primarily by increased demand at our generator enclosure business.</w:t>
      </w:r>
    </w:p>
    <w:p>
      <w:pPr>
        <w:spacing w:after="0" w:line="16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six months ended March 31, 2023 increased $9.9 million as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Gross profit for the six months ended March 31, 2022 was negatively impacted by supply chain disruptions in our generator enclosure business, COVID-19 related labor inefficiencies, and operating inefficiencies in connection with the relocation of the Wedlake business to a new, larger facility as discussed above. Gross profit as a percentage of revenues increased to 24.2% for the six months ended March 31, 2023 compared to 17.6% for the six months ended March 31, 2022.</w:t>
      </w:r>
    </w:p>
    <w:p>
      <w:pPr>
        <w:spacing w:after="0" w:line="19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2023 decreased $0.7 million compared to the six months ended March 31, 2022, primarily as a result of a decrease in medical claims costs. Selling, general and administrative expenses as a percentage of revenue decreased from 14.9% for the six months ended March 31, 2022 to 11.5% for the six months ended March 31, 2023, as we benefited from the scale of our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2023</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20" w:type="dxa"/>
            <w:vAlign w:val="bottom"/>
            <w:gridSpan w:val="9"/>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90.2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107.6</w:t>
            </w:r>
          </w:p>
        </w:tc>
        <w:tc>
          <w:tcPr>
            <w:tcW w:w="26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 (loss)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6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$0.2 million, or 0.3%, during the three months ended March 31, 2023,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2022. STR, which we sold on October 7, 2022, contributed revenue of $4.3 million for the quarter ended March 31, 2022. The markets in which we operate remain highly competitive.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9" w:name="page30"/>
    <w:bookmarkEnd w:id="29"/>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March 31, 2023, increased by $12.0 million,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2022. Gross profit as a percentage of revenue increased from (7.6)% for the quarter ended March 31, 2022 to 9.8% for the quarter ended March 31, 2023. Our results for the quarter ended March 31, 2022 were impacted by losses recorded on two projects at one of our Commercial &amp; Industrial branches. The first was a large contract experiencing execution issues, for which we recorded expense of $10.4 million including the accrual of estimated costs to complete the project, including demolition, purchase of replacement materials, and performance of rework. The second project experienced a reduction to gross profit of $1.8 million during the quarter ended March 31, 2022 caused by a delay in receiving materials from a supplier. We continue to limit the size and duration of projects bid at this branch.</w:t>
      </w:r>
    </w:p>
    <w:p>
      <w:pPr>
        <w:spacing w:after="0" w:line="1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2023 decreased $2.0 million, or 24.2%, compared to the three months ended March 31, 2022. The decrease was driven by a reduction in headcount, as well as the sale of STR. Selling, general and administrative expenses as a percentage of revenue decreased from 12.3% to 9.3% for the three months ended March 31, 2023 compared to the three months ended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2022</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34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4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r>
      <w:tr>
        <w:trPr>
          <w:trHeight w:val="248"/>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(8.7) %</w:t>
            </w:r>
          </w:p>
        </w:tc>
      </w:tr>
    </w:tbl>
    <w:p>
      <w:pPr>
        <w:spacing w:after="0" w:line="292"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decreased $8.8 million during the six months ended March 31, 2023, or 6.3%,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primarily as a result of the sale of STR. STR contributed revenue of $9.2 million for the six months ended March 31, 2022.</w:t>
      </w:r>
    </w:p>
    <w:p>
      <w:pPr>
        <w:spacing w:after="0" w:line="16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six months ended March 31, 2023 increased by $6.7 million, or 183.5%,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months ended March 31, 2022. Gross profit for the six months ended March 31, 2022 was negatively impacted by the losses recorded on the two projects discussed above. Gross profit as a percentage of revenue increased from 2.6% for the six months ended March 31, 2022 to 8.0% for the six months ended March 31, 2023.</w:t>
      </w:r>
    </w:p>
    <w:p>
      <w:pPr>
        <w:spacing w:after="0" w:line="19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2023 decreased $3.6 million, or 23.1%, compared to the six months ended March 31, 2022. The decrease was driven primarily by reduced headcount, the sale of STR, and a reduction in legal reserves recorded in the six months ended March 31, 2023 as compared with the six months ended March 31, 2022.</w:t>
      </w:r>
    </w:p>
    <w:p>
      <w:pPr>
        <w:spacing w:after="0" w:line="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7"/>
          <w:szCs w:val="17"/>
          <w:color w:val="auto"/>
        </w:rPr>
        <w:t>Selling, general and administrative expenses as a percentage of revenue decreased from 11.4% for the six months ended March 31, 2022 to 9.3% for the six months ended March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sale of asset</w:t>
      </w:r>
      <w:r>
        <w:rPr>
          <w:rFonts w:ascii="Times New Roman" w:cs="Times New Roman" w:eastAsia="Times New Roman" w:hAnsi="Times New Roman"/>
          <w:sz w:val="17"/>
          <w:szCs w:val="17"/>
          <w:color w:val="auto"/>
        </w:rPr>
        <w:t>s. As discussed above, in October 2022, we sold STR and recorded a pretax gain on sale of $13.0 million.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080" w:type="dxa"/>
            <w:vAlign w:val="bottom"/>
            <w:gridSpan w:val="2"/>
          </w:tcPr>
          <w:p>
            <w:pPr>
              <w:jc w:val="center"/>
              <w:ind w:right="109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2022</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3"/>
          </w:tcPr>
          <w:p>
            <w:pPr>
              <w:jc w:val="right"/>
              <w:ind w:right="654"/>
              <w:spacing w:after="0"/>
              <w:rPr>
                <w:sz w:val="20"/>
                <w:szCs w:val="20"/>
                <w:color w:val="auto"/>
              </w:rPr>
            </w:pPr>
            <w:r>
              <w:rPr>
                <w:rFonts w:ascii="Times New Roman" w:cs="Times New Roman" w:eastAsia="Times New Roman" w:hAnsi="Times New Roman"/>
                <w:sz w:val="15"/>
                <w:szCs w:val="15"/>
                <w:color w:val="auto"/>
              </w:rPr>
              <w:t>(In thousands)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08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40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1954"/>
              <w:spacing w:after="0"/>
              <w:rPr>
                <w:sz w:val="20"/>
                <w:szCs w:val="20"/>
                <w:color w:val="auto"/>
              </w:rPr>
            </w:pPr>
            <w:r>
              <w:rPr>
                <w:rFonts w:ascii="Times New Roman" w:cs="Times New Roman" w:eastAsia="Times New Roman" w:hAnsi="Times New Roman"/>
                <w:sz w:val="17"/>
                <w:szCs w:val="17"/>
                <w:color w:val="auto"/>
              </w:rPr>
              <w:t>30</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right="40"/>
        <w:spacing w:after="0" w:line="258" w:lineRule="auto"/>
        <w:rPr>
          <w:sz w:val="20"/>
          <w:szCs w:val="20"/>
          <w:color w:val="auto"/>
        </w:rPr>
      </w:pPr>
      <w:r>
        <w:rPr>
          <w:rFonts w:ascii="Times New Roman" w:cs="Times New Roman" w:eastAsia="Times New Roman" w:hAnsi="Times New Roman"/>
          <w:sz w:val="17"/>
          <w:szCs w:val="17"/>
          <w:color w:val="auto"/>
        </w:rPr>
        <w:t>During the three months ended March 31, 2023, we incurred interest expense of $1.0 million primarily comprised of interest expense from our revolving credit facility, which had an average outstanding balance of $43.5 million, in addition to fees on an average letter of credit balance of $5.0 million under our revolving credit facility and an average unused line of credit balance of $106.6 million. This compares to interest expense of $0.5 million for the three months ended March 31, 2022, primarily comprised of interest expense from our revolving credit facility, which had an average outstanding balance of $78.5 million, in addition to fees on an average letter of credit balance of $5.0 million under our revolving credit facility and an average unused line of credit balance of $46.1 million. The increase in interest expense in the three months ended March 31, 2023 compared to the three months ended March 31, 2022 was a result of higher borrowing rates, partly offset by a decrease in average outstanding borrowings under our revolving credit facility.</w:t>
      </w:r>
    </w:p>
    <w:p>
      <w:pPr>
        <w:spacing w:after="0" w:line="20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improvement in other (income) expense, net for the three months ended March 31, 2023 as compared with March 31, 2022 is primarily the result of gains on investments in equity securities of $1.7 million during the three months ended March 31, 2023, compared with losses of $0.2 million during the three months ended March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Six Months Ended March 31,</w:t>
            </w:r>
          </w:p>
        </w:tc>
        <w:tc>
          <w:tcPr>
            <w:tcW w:w="540" w:type="dxa"/>
            <w:vAlign w:val="bottom"/>
            <w:tcBorders>
              <w:bottom w:val="single" w:sz="8" w:color="auto"/>
            </w:tcBorders>
          </w:tcPr>
          <w:p>
            <w:pPr>
              <w:spacing w:after="0"/>
              <w:rPr>
                <w:sz w:val="19"/>
                <w:szCs w:val="19"/>
                <w:color w:val="auto"/>
              </w:rPr>
            </w:pPr>
          </w:p>
        </w:tc>
      </w:tr>
      <w:tr>
        <w:trPr>
          <w:trHeight w:val="212"/>
        </w:trPr>
        <w:tc>
          <w:tcPr>
            <w:tcW w:w="79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40" w:type="dxa"/>
            <w:vAlign w:val="bottom"/>
            <w:tcBorders>
              <w:bottom w:val="single" w:sz="8" w:color="auto"/>
            </w:tcBorders>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gridSpan w:val="3"/>
          </w:tcPr>
          <w:p>
            <w:pPr>
              <w:jc w:val="right"/>
              <w:ind w:right="554"/>
              <w:spacing w:after="0"/>
              <w:rPr>
                <w:sz w:val="20"/>
                <w:szCs w:val="20"/>
                <w:color w:val="auto"/>
              </w:rPr>
            </w:pPr>
            <w:r>
              <w:rPr>
                <w:rFonts w:ascii="Times New Roman" w:cs="Times New Roman" w:eastAsia="Times New Roman" w:hAnsi="Times New Roman"/>
                <w:sz w:val="15"/>
                <w:szCs w:val="15"/>
                <w:color w:val="auto"/>
              </w:rPr>
              <w:t>(In thousands)</w:t>
            </w:r>
          </w:p>
        </w:tc>
        <w:tc>
          <w:tcPr>
            <w:tcW w:w="54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r>
    </w:tbl>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During the six months ended March 31, 2023, we incurred interest expense of $2.2 million primarily comprised of interest expense from our revolving credit facility, which had an average outstanding balance of $52.4 million, in addition to fees on an average letter of credit balance of $5.2 million under our revolving credit facility and an average unused line of credit balance of $93.5 million. This compares to interest expense of $1.0 million for the six months ended March 31, 2022, primarily comprised of interest expense from our revolving credit facility, which had an average outstanding balance of $68.7 million, in addition to fees on an average letter of credit balance of $4.9 million under our revolving credit facility and an average unused line of credit balance of $44.5 million. The increase in interest expense in the six months ended March 31, 2023 compared to the six months ended March 31, 2022 was a result of higher borrowing rates, partly offset by a decrease in average outstanding borrowings under our revolving credit facility.</w:t>
      </w:r>
    </w:p>
    <w:p>
      <w:pPr>
        <w:spacing w:after="0" w:line="205"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 improvement in other (income) expense, net for the six months ended March 31, 2023 as compared with March 31, 2022 is primarily the result of gains on investments in equity securities of $0.9 million in the six months ended March 31, 2023, compared to unrealized losses on investments in equity securities of $0.6 million in the six months ended March 31,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$8.2 million for the three months ended March 31, 2023, compared to an income tax benefit of $1.3 million for the three months ended March 31, 2022, driven by reporting pretax income in the three months ended March 31, 2023 compared to a pretax loss in the prior year period.</w:t>
      </w:r>
    </w:p>
    <w:p>
      <w:pPr>
        <w:spacing w:after="0" w:line="17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recorded income tax expense of $18.2 million for the six months ended March 31, 2023, compared to income tax expense of $2.7 million for the six months ended March 31, 2022, driven by increased pretax income. Income tax expense for the six months ended March 31, 2023 and 2022 included a benefit of $0.2 million and $0.8 million, respectively, related to the vesting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2022. Some of the more significant estimates include revenue recognition, business combinations, valuation allowance for deferred tax assets and income taxes.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2022.</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(in thousands):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June 30,</w:t>
            </w: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1,012,111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893,923</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376,948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316,385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319,448</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314,448</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1,389,059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1,327,403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1,286,449</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1,208,371</w:t>
            </w:r>
          </w:p>
        </w:tc>
      </w:tr>
    </w:tbl>
    <w:p>
      <w:pPr>
        <w:spacing w:after="0" w:line="1" w:lineRule="exact"/>
        <w:rPr>
          <w:sz w:val="20"/>
          <w:szCs w:val="20"/>
          <w:color w:val="auto"/>
        </w:rPr>
      </w:pPr>
    </w:p>
    <w:p>
      <w:pPr>
        <w:ind w:left="120" w:right="400" w:firstLine="10"/>
        <w:spacing w:after="0" w:line="253" w:lineRule="auto"/>
        <w:tabs>
          <w:tab w:leader="none" w:pos="33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2023, working capital exclusive of cash increased by $6.1 million from September 30, 2022, reflecting a $28.9 million decrease in current liabilities partially offset by a $22.8 million decrease in current assets excluding cash during the period.</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During the six months ended March 31, 2023, our current assets exclusive of cash decreased to $576.8 million, as compared to $599.6 million as of September 30, 2022. A seasonal decrease in business activity, as well as the collection of $5.1 million of aged receivables related to prior year contractual disputes, drove a $40.1 million decrease in trade accounts receivable. Days sales outstanding decreased from 58 at September 30, 2022 to 55 at March 31, 2023. While the rate of collections may vary, our typically secured position, resulting from our ability in general to secure liens against our customers’ overdue receivables, offers some protection that collection will occur eventually to the extent that our security retains value. The decrease in trade accounts receivable was partly offset by a $10.0 million increase in inventories as a result of the timing of receipt of certain large materials orders by our Residential business, as well as an increase in activity for custom power solutions in our Infrastructure Solutions business. Retainage also increased by $8.9 million, driven by the timing of certain large projects approaching completion.</w:t>
      </w:r>
    </w:p>
    <w:p>
      <w:pPr>
        <w:spacing w:after="0" w:line="2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During the six months ended March 31, 2023, our total current liabilities decreased by $28.9 million to $373.0 million, compared to $401.9 million as of September 30, 2022, driven by a seasonal decrease in business activity, as well as the remittance of all remaining payroll taxes deferred under the Coronavirus Aid, 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2023, the estimated cost to complete our bonded projects was approximately $129.5 million.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 million. The Amended Credit Agreement contains customary affirmative, negative and financial covenants and events of default.</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that is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Agreement) at 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right="20" w:firstLine="3"/>
        <w:spacing w:after="0" w:line="266"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2023,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51" w:lineRule="exact"/>
        <w:rPr>
          <w:rFonts w:ascii="Times New Roman" w:cs="Times New Roman" w:eastAsia="Times New Roman" w:hAnsi="Times New Roman"/>
          <w:sz w:val="17"/>
          <w:szCs w:val="17"/>
          <w:color w:val="auto"/>
        </w:rPr>
      </w:pPr>
    </w:p>
    <w:p>
      <w:pPr>
        <w:ind w:left="1480" w:right="8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At March 31, 2023, our Liquidity was $143.0 million, our Excess Availability was $127.8 million (or greater than 50% of minimum Liquidity), and our Fixed Charge Coverage Ratio was 3.0:1.0.</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2023, we had $4.4 million in outstanding letters of credit and outstanding borrowings of $15.1 million under our revolving credit 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elevated commodity prices, and the steps taken to mitigate the impact of supply chain disruptions.</w:t>
      </w:r>
    </w:p>
    <w:p>
      <w:pPr>
        <w:spacing w:after="0" w:line="20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$60.1 million during the six months ended March 31, 2023, as compared to $2.9 million of net cash used in operating activities in the six months ended March 31, 2022. The increase in operating cash flow resulted from increased earnings and a reduction in cash used in working capital during the six months ended March 31, 2023 as compared with the six months ended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Net cash provided by investing activities was $12.3 million for the six months ended March 31, 2023, compared to $21.9 million used in investing activities in the six months ended March 31, 2022. During the six months ended March 31, 2023, the sale of assets, including the sale of STR, provided cash of $19.1 million, which was partially offset by $6.7 million used for capital expenditures. During the six months ended March 31, 2022, we used $21.6 million for capital expenditures primarily related to the acquisition of a new operating facility for our Wedlake business, as well as an additional facility to support the growth of our Residential business in Florida.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Net cash used in financing activities for the six months ended March 31, 2023 was $82.1 million, compared to $21.0 million provided by financing activities for the six months ended March 31, 2022. Net cash used in financing activities for the six months ended March 31, 2023 included net repayments on our credit facility of $67.5 million and $7.6 million used for repurchases of our common stock, including repurchases to satisfy statutory withholding requirements upon the vesting of employee stock compensation. Additionally, we distributed $5.3 million to noncontrolling interests under operating agreements in connection with certain acquisitions. Net cash provided by financing activities for the six months ended March 31, 2022 included net borrowings on our credit facility of $29.9 million, partly offset by $4.9 million used to repurchase our common stock, including repurchases to satisfy statutory withholding requirements upon the vesting of employee stock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in 2019 authorized the repurchase from time to time of up to an additional 1.0 million shares under the program. In December 2022, our Board terminated the remaining authorization under this program, and approved a new $40.0 million share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223,779 shares pursuant to our repurchase programs during the six months ended March 31, 2023.</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2023, we had commitments of $6.0 million outstanding under agreements to purchase copper wire and other materials over the next 12 months in the ordinary course of business. There have been no other material changes in our material cash requirements from those disclosed in our Annual Report on Form 10-K for the fiscal year ended September 30, 2022.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2022.</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of $15.1 million as of March 31, 2023 would cause a $0.2 million pre-tax annual increase in interest expense.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2023,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Maximum Dollar Value of</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8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5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 Paid</w:t>
            </w:r>
          </w:p>
        </w:tc>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Shares Purchased as</w:t>
            </w:r>
          </w:p>
        </w:tc>
        <w:tc>
          <w:tcPr>
            <w:tcW w:w="160" w:type="dxa"/>
            <w:vAlign w:val="bottom"/>
          </w:tcPr>
          <w:p>
            <w:pPr>
              <w:spacing w:after="0"/>
              <w:rPr>
                <w:sz w:val="15"/>
                <w:szCs w:val="15"/>
                <w:color w:val="auto"/>
              </w:rPr>
            </w:pPr>
          </w:p>
        </w:tc>
        <w:tc>
          <w:tcPr>
            <w:tcW w:w="20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w w:val="99"/>
              </w:rPr>
              <w:t>Shares That May Yet Be</w:t>
            </w:r>
          </w:p>
        </w:tc>
        <w:tc>
          <w:tcPr>
            <w:tcW w:w="0" w:type="dxa"/>
            <w:vAlign w:val="bottom"/>
          </w:tcPr>
          <w:p>
            <w:pPr>
              <w:spacing w:after="0"/>
              <w:rPr>
                <w:sz w:val="1"/>
                <w:szCs w:val="1"/>
                <w:color w:val="auto"/>
              </w:rPr>
            </w:pPr>
          </w:p>
        </w:tc>
      </w:tr>
      <w:tr>
        <w:trPr>
          <w:trHeight w:val="171"/>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8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Part of a Publicly</w:t>
            </w:r>
          </w:p>
        </w:tc>
        <w:tc>
          <w:tcPr>
            <w:tcW w:w="21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color w:val="auto"/>
              </w:rPr>
              <w:t>Purchased Under the Publicly</w:t>
            </w:r>
          </w:p>
        </w:tc>
        <w:tc>
          <w:tcPr>
            <w:tcW w:w="0" w:type="dxa"/>
            <w:vAlign w:val="bottom"/>
          </w:tcPr>
          <w:p>
            <w:pPr>
              <w:spacing w:after="0"/>
              <w:rPr>
                <w:sz w:val="1"/>
                <w:szCs w:val="1"/>
                <w:color w:val="auto"/>
              </w:rPr>
            </w:pPr>
          </w:p>
        </w:tc>
      </w:tr>
      <w:tr>
        <w:trPr>
          <w:trHeight w:val="219"/>
        </w:trPr>
        <w:tc>
          <w:tcPr>
            <w:tcW w:w="3060" w:type="dxa"/>
            <w:vAlign w:val="bottom"/>
            <w:vMerge w:val="continue"/>
          </w:tcPr>
          <w:p>
            <w:pPr>
              <w:spacing w:after="0"/>
              <w:rPr>
                <w:sz w:val="19"/>
                <w:szCs w:val="19"/>
                <w:color w:val="auto"/>
              </w:rPr>
            </w:pPr>
          </w:p>
        </w:tc>
        <w:tc>
          <w:tcPr>
            <w:tcW w:w="184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Announced Plan</w:t>
            </w:r>
          </w:p>
        </w:tc>
        <w:tc>
          <w:tcPr>
            <w:tcW w:w="160" w:type="dxa"/>
            <w:vAlign w:val="bottom"/>
          </w:tcPr>
          <w:p>
            <w:pPr>
              <w:spacing w:after="0"/>
              <w:rPr>
                <w:sz w:val="19"/>
                <w:szCs w:val="19"/>
                <w:color w:val="auto"/>
              </w:rPr>
            </w:pPr>
          </w:p>
        </w:tc>
        <w:tc>
          <w:tcPr>
            <w:tcW w:w="2020" w:type="dxa"/>
            <w:vAlign w:val="bottom"/>
          </w:tcPr>
          <w:p>
            <w:pPr>
              <w:jc w:val="center"/>
              <w:ind w:right="54"/>
              <w:spacing w:after="0" w:line="219" w:lineRule="exact"/>
              <w:rPr>
                <w:sz w:val="20"/>
                <w:szCs w:val="20"/>
                <w:color w:val="auto"/>
              </w:rPr>
            </w:pPr>
            <w:r>
              <w:rPr>
                <w:rFonts w:ascii="Times New Roman" w:cs="Times New Roman" w:eastAsia="Times New Roman" w:hAnsi="Times New Roman"/>
                <w:sz w:val="17"/>
                <w:szCs w:val="17"/>
                <w:color w:val="auto"/>
                <w:w w:val="98"/>
              </w:rPr>
              <w:t xml:space="preserve">Announced Plan </w:t>
            </w:r>
            <w:r>
              <w:rPr>
                <w:rFonts w:ascii="Times New Roman" w:cs="Times New Roman" w:eastAsia="Times New Roman" w:hAnsi="Times New Roman"/>
                <w:sz w:val="22"/>
                <w:szCs w:val="22"/>
                <w:color w:val="auto"/>
                <w:w w:val="98"/>
                <w:vertAlign w:val="superscript"/>
              </w:rPr>
              <w:t>(2)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2023 – January 31, 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34.95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37,598,324</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2023 – February 28, 2023</w:t>
            </w:r>
          </w:p>
        </w:tc>
        <w:tc>
          <w:tcPr>
            <w:tcW w:w="21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37,598,324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2023 – March 31, 2023</w:t>
            </w:r>
          </w:p>
        </w:tc>
        <w:tc>
          <w:tcPr>
            <w:tcW w:w="2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37,598,324</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34.95</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37,598,324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program described in footnote (2) below.</w:t>
      </w:r>
    </w:p>
    <w:p>
      <w:pPr>
        <w:spacing w:after="0" w:line="58"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2015, our Board authorized a stock repurchase program for the purchase of up to 1.5 million shares of the Company’s common stock from time to time, and in 2019 authorized the repurchase</w:t>
      </w:r>
    </w:p>
    <w:p>
      <w:pPr>
        <w:spacing w:after="0" w:line="57" w:lineRule="exact"/>
        <w:rPr>
          <w:sz w:val="20"/>
          <w:szCs w:val="20"/>
          <w:color w:val="auto"/>
        </w:rPr>
      </w:pPr>
    </w:p>
    <w:p>
      <w:pPr>
        <w:ind w:left="620"/>
        <w:spacing w:after="0" w:line="275" w:lineRule="auto"/>
        <w:rPr>
          <w:sz w:val="20"/>
          <w:szCs w:val="20"/>
          <w:color w:val="auto"/>
        </w:rPr>
      </w:pPr>
      <w:r>
        <w:rPr>
          <w:rFonts w:ascii="Times New Roman" w:cs="Times New Roman" w:eastAsia="Times New Roman" w:hAnsi="Times New Roman"/>
          <w:sz w:val="14"/>
          <w:szCs w:val="14"/>
          <w:color w:val="auto"/>
        </w:rPr>
        <w:t>from time to time of up to an additional 1.0 million shares under the program. In December 2022, our Board terminated the existing program, and authorized a new $40 million share repurchase program.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75">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75">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76">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76">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78">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2016).</w:t>
        </w:r>
      </w:hyperlink>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7"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19"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May 10, 2023.</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941"/>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38</w:t>
            </w:r>
          </w:p>
        </w:tc>
      </w:tr>
    </w:tbl>
    <w:p>
      <w:pPr>
        <w:sectPr>
          <w:pgSz w:w="11900" w:h="16838" w:orient="portrait"/>
          <w:cols w:equalWidth="0" w:num="1">
            <w:col w:w="11240"/>
          </w:cols>
          <w:pgMar w:left="320" w:top="428"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2023</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2023</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2023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May 10,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2023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May 10,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amp;"/>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5">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6">
    <w:nsid w:val="628C895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lvl w:ilvl="1">
      <w:lvlJc w:val="left"/>
      <w:lvlText w:val="(%2)"/>
      <w:numFmt w:val="lowerLetter"/>
      <w:start w:val="2"/>
    </w:lvl>
  </w:abstractNum>
  <w:abstractNum w:abstractNumId="19">
    <w:nsid w:val="2443A8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0">
    <w:nsid w:val="2D1D5AE9"/>
    <w:multiLevelType w:val="hybridMultilevel"/>
    <w:lvl w:ilvl="0">
      <w:lvlJc w:val="left"/>
      <w:lvlText w:val="(%1)"/>
      <w:numFmt w:val="lowerLetter"/>
      <w:start w:val="3"/>
    </w:lvl>
    <w:lvl w:ilvl="1">
      <w:lvlJc w:val="left"/>
      <w:lvlText w:val="(%2)"/>
      <w:numFmt w:val="lowerLetter"/>
      <w:start w:val="4"/>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lvl w:ilvl="1">
      <w:lvlJc w:val="left"/>
      <w:lvlText w:val="(%2)"/>
      <w:numFmt w:val="lowerLetter"/>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75" Type="http://schemas.openxmlformats.org/officeDocument/2006/relationships/hyperlink" Target="http://www.sec.gov/Archives/edgar/data/1048268/000119312516674386/d211495dex31.htm" TargetMode="External"/><Relationship Id="rId76" Type="http://schemas.openxmlformats.org/officeDocument/2006/relationships/hyperlink" Target="http://www.sec.gov/Archives/edgar/data/1048268/000104826821000065/amendedandrestatedbylawsof.htm" TargetMode="External"/><Relationship Id="rId78" Type="http://schemas.openxmlformats.org/officeDocument/2006/relationships/hyperlink" Target="http://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2023-05-10T12:03:55Z</dcterms:created>
  <dcterms:modified xsi:type="dcterms:W3CDTF">2023-05-10T12:03:55Z</dcterms:modified>
</cp:coreProperties>
</file>