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28575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15875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9"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December 31, 2023</w:t>
      </w:r>
    </w:p>
    <w:p>
      <w:pPr>
        <w:spacing w:after="0" w:line="13"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25400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700"/>
        <w:spacing w:after="0"/>
        <w:tabs>
          <w:tab w:leader="none" w:pos="78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76-0542208</w:t>
      </w:r>
    </w:p>
    <w:p>
      <w:pPr>
        <w:spacing w:after="0" w:line="31" w:lineRule="exact"/>
        <w:rPr>
          <w:sz w:val="24"/>
          <w:szCs w:val="24"/>
          <w:color w:val="auto"/>
        </w:rPr>
      </w:pPr>
    </w:p>
    <w:p>
      <w:pPr>
        <w:ind w:left="216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3"/>
          <w:szCs w:val="13"/>
          <w:b w:val="1"/>
          <w:bCs w:val="1"/>
          <w:color w:val="auto"/>
        </w:rPr>
        <w:t>(I.R.S. Employer</w:t>
      </w:r>
    </w:p>
    <w:p>
      <w:pPr>
        <w:spacing w:after="0" w:line="26" w:lineRule="exact"/>
        <w:rPr>
          <w:sz w:val="24"/>
          <w:szCs w:val="24"/>
          <w:color w:val="auto"/>
        </w:rPr>
      </w:pPr>
    </w:p>
    <w:p>
      <w:pPr>
        <w:ind w:left="212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No.)</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 Riverway, Suite 1730,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150" w:lineRule="exact"/>
        <w:rPr>
          <w:sz w:val="24"/>
          <w:szCs w:val="24"/>
          <w:color w:val="auto"/>
        </w:rPr>
      </w:pPr>
    </w:p>
    <w:p>
      <w:pPr>
        <w:ind w:right="480"/>
        <w:spacing w:after="0" w:line="20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4" w:lineRule="exact"/>
        <w:rPr>
          <w:sz w:val="24"/>
          <w:szCs w:val="24"/>
          <w:color w:val="auto"/>
        </w:rPr>
      </w:pPr>
    </w:p>
    <w:p>
      <w:pPr>
        <w:ind w:right="3120"/>
        <w:spacing w:after="0" w:line="26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January 31, 2024, there were 20,221,466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1"/>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December 31, 2023 and September 30, 2023</w:t>
            </w:r>
          </w:p>
        </w:tc>
        <w:tc>
          <w:tcPr>
            <w:tcW w:w="2980" w:type="dxa"/>
            <w:vAlign w:val="bottom"/>
            <w:gridSpan w:val="5"/>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Months Ended December 31, 2023 and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Months Ended December 31, 2023 and 2022</w:t>
            </w:r>
          </w:p>
        </w:tc>
        <w:tc>
          <w:tcPr>
            <w:tcW w:w="8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December 31, 2023 and 2022</w:t>
            </w:r>
          </w:p>
        </w:tc>
        <w:tc>
          <w:tcPr>
            <w:tcW w:w="640" w:type="dxa"/>
            <w:vAlign w:val="bottom"/>
            <w:tcBorders>
              <w:top w:val="single" w:sz="8" w:color="0000FF"/>
              <w:bottom w:val="single" w:sz="8" w:color="0000FF"/>
            </w:tcBorders>
          </w:tcPr>
          <w:p>
            <w:pPr>
              <w:spacing w:after="0"/>
              <w:rPr>
                <w:sz w:val="18"/>
                <w:szCs w:val="18"/>
                <w:color w:val="auto"/>
              </w:rPr>
            </w:pPr>
          </w:p>
        </w:tc>
        <w:tc>
          <w:tcPr>
            <w:tcW w:w="102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920" w:type="dxa"/>
            <w:vAlign w:val="bottom"/>
            <w:gridSpan w:val="12"/>
          </w:tcPr>
          <w:p>
            <w:pPr>
              <w:jc w:val="right"/>
              <w:ind w:right="1460"/>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29" w:lineRule="exact"/>
        <w:rPr>
          <w:rFonts w:ascii="Times New Roman" w:cs="Times New Roman" w:eastAsia="Times New Roman" w:hAnsi="Times New Roman"/>
          <w:sz w:val="17"/>
          <w:szCs w:val="17"/>
          <w:color w:val="auto"/>
        </w:rPr>
      </w:pPr>
    </w:p>
    <w:p>
      <w:pPr>
        <w:ind w:left="620" w:right="3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market and macro-economic disruptions resulting from Russia's invasion of Ukraine or other geo-political events;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77" w:lineRule="exact"/>
        <w:rPr>
          <w:rFonts w:ascii="Times New Roman" w:cs="Times New Roman" w:eastAsia="Times New Roman" w:hAnsi="Times New Roman"/>
          <w:sz w:val="17"/>
          <w:szCs w:val="17"/>
          <w:color w:val="auto"/>
        </w:rPr>
      </w:pPr>
    </w:p>
    <w:p>
      <w:pPr>
        <w:ind w:left="620" w:hanging="307"/>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84"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due to our suppliers' access to materials and labor, their ability to ship products timely, or credit or liquidity problems they may face;</w:t>
      </w:r>
    </w:p>
    <w:p>
      <w:pPr>
        <w:spacing w:after="0" w:line="164" w:lineRule="exact"/>
        <w:rPr>
          <w:rFonts w:ascii="Times New Roman" w:cs="Times New Roman" w:eastAsia="Times New Roman" w:hAnsi="Times New Roman"/>
          <w:sz w:val="17"/>
          <w:szCs w:val="17"/>
          <w:color w:val="auto"/>
        </w:rPr>
      </w:pPr>
    </w:p>
    <w:p>
      <w:pPr>
        <w:ind w:left="620" w:right="20" w:hanging="307"/>
        <w:spacing w:after="0" w:line="25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novel coronavirus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190" w:lineRule="exact"/>
        <w:rPr>
          <w:rFonts w:ascii="Times New Roman" w:cs="Times New Roman" w:eastAsia="Times New Roman" w:hAnsi="Times New Roman"/>
          <w:sz w:val="17"/>
          <w:szCs w:val="17"/>
          <w:color w:val="auto"/>
        </w:rPr>
      </w:pPr>
    </w:p>
    <w:p>
      <w:pPr>
        <w:ind w:left="620" w:right="2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64" w:lineRule="exact"/>
        <w:rPr>
          <w:rFonts w:ascii="Times New Roman" w:cs="Times New Roman" w:eastAsia="Times New Roman" w:hAnsi="Times New Roman"/>
          <w:sz w:val="17"/>
          <w:szCs w:val="17"/>
          <w:color w:val="auto"/>
        </w:rPr>
      </w:pPr>
    </w:p>
    <w:p>
      <w:pPr>
        <w:ind w:left="620" w:right="16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29" w:lineRule="exact"/>
        <w:rPr>
          <w:rFonts w:ascii="Times New Roman" w:cs="Times New Roman" w:eastAsia="Times New Roman" w:hAnsi="Times New Roman"/>
          <w:sz w:val="17"/>
          <w:szCs w:val="17"/>
          <w:color w:val="auto"/>
        </w:rPr>
      </w:pPr>
    </w:p>
    <w:p>
      <w:pPr>
        <w:ind w:left="620" w:right="100" w:hanging="307"/>
        <w:spacing w:after="0" w:line="27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42"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42" w:lineRule="exact"/>
        <w:rPr>
          <w:rFonts w:ascii="Times New Roman" w:cs="Times New Roman" w:eastAsia="Times New Roman" w:hAnsi="Times New Roman"/>
          <w:sz w:val="17"/>
          <w:szCs w:val="17"/>
          <w:color w:val="auto"/>
        </w:rPr>
      </w:pPr>
    </w:p>
    <w:p>
      <w:pPr>
        <w:ind w:left="307" w:right="1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pacing w:after="0" w:line="177" w:lineRule="exact"/>
        <w:rPr>
          <w:rFonts w:ascii="Times New Roman" w:cs="Times New Roman" w:eastAsia="Times New Roman" w:hAnsi="Times New Roman"/>
          <w:sz w:val="17"/>
          <w:szCs w:val="17"/>
          <w:color w:val="auto"/>
        </w:rPr>
      </w:pPr>
    </w:p>
    <w:p>
      <w:pPr>
        <w:ind w:left="307" w:right="8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downturns in levels of construction or the housing market, seasonality and differing regional economic conditions;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bad debt expense and days sales outstanding due to liquidity problems faced by our customers;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42" w:lineRule="exact"/>
        <w:rPr>
          <w:rFonts w:ascii="Times New Roman" w:cs="Times New Roman" w:eastAsia="Times New Roman" w:hAnsi="Times New Roman"/>
          <w:sz w:val="17"/>
          <w:szCs w:val="17"/>
          <w:color w:val="auto"/>
        </w:rPr>
      </w:pPr>
    </w:p>
    <w:p>
      <w:pPr>
        <w:ind w:left="307" w:right="22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under existing or potential future laws and regulations, including those laws and regulations related to the environment and climate change;</w:t>
      </w:r>
    </w:p>
    <w:p>
      <w:pPr>
        <w:spacing w:after="0" w:line="229"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comply with future changes in laws and regulations, including environmental laws and regulations and those relating to climate change;</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inability to transfer, renew and obtain electrical and other professional licenses;</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the value of certain tax benefits may be reduced by a decrease in the federal tax rate;</w:t>
      </w:r>
    </w:p>
    <w:p>
      <w:pPr>
        <w:spacing w:after="0" w:line="242" w:lineRule="exact"/>
        <w:rPr>
          <w:rFonts w:ascii="Times New Roman" w:cs="Times New Roman" w:eastAsia="Times New Roman" w:hAnsi="Times New Roman"/>
          <w:sz w:val="17"/>
          <w:szCs w:val="17"/>
          <w:color w:val="auto"/>
        </w:rPr>
      </w:pPr>
    </w:p>
    <w:p>
      <w:pPr>
        <w:ind w:left="307" w:right="6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tax benefits related to uncertain tax positions and the potential for disagreements with taxing authorities with regard to tax positions we have adopted;</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recognition of valuation allowances or write-downs on deferred tax assets;</w:t>
      </w:r>
    </w:p>
    <w:p>
      <w:pPr>
        <w:spacing w:after="0" w:line="242"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availability of sufficient credit or cash flow to fund our working capital needs and capital expenditures, to complete acquisitions, and for debt service;</w:t>
      </w:r>
    </w:p>
    <w:p>
      <w:pPr>
        <w:spacing w:after="0" w:line="177" w:lineRule="exact"/>
        <w:rPr>
          <w:rFonts w:ascii="Times New Roman" w:cs="Times New Roman" w:eastAsia="Times New Roman" w:hAnsi="Times New Roman"/>
          <w:sz w:val="17"/>
          <w:szCs w:val="17"/>
          <w:color w:val="auto"/>
        </w:rPr>
      </w:pPr>
    </w:p>
    <w:p>
      <w:pPr>
        <w:ind w:left="307" w:right="3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estimating future operating results, including revenues, operating income or cash flow;</w:t>
      </w:r>
    </w:p>
    <w:p>
      <w:pPr>
        <w:spacing w:after="0" w:line="242"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42" w:lineRule="exact"/>
        <w:rPr>
          <w:rFonts w:ascii="Times New Roman" w:cs="Times New Roman" w:eastAsia="Times New Roman" w:hAnsi="Times New Roman"/>
          <w:sz w:val="17"/>
          <w:szCs w:val="17"/>
          <w:color w:val="auto"/>
        </w:rPr>
      </w:pPr>
    </w:p>
    <w:p>
      <w:pPr>
        <w:ind w:left="307" w:right="180" w:hanging="307"/>
        <w:spacing w:after="0" w:line="270"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307" w:right="20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which may make it more difficult for shareholders to sell a substantial number of shares for the same price at which shareholders could sell a smaller number of shares;</w:t>
      </w:r>
    </w:p>
    <w:p>
      <w:pPr>
        <w:spacing w:after="0" w:line="177" w:lineRule="exact"/>
        <w:rPr>
          <w:rFonts w:ascii="Times New Roman" w:cs="Times New Roman" w:eastAsia="Times New Roman" w:hAnsi="Times New Roman"/>
          <w:sz w:val="17"/>
          <w:szCs w:val="17"/>
          <w:color w:val="auto"/>
        </w:rPr>
      </w:pPr>
    </w:p>
    <w:p>
      <w:pPr>
        <w:ind w:left="307" w:right="80" w:hanging="307"/>
        <w:spacing w:after="0" w:line="287"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29" w:lineRule="exact"/>
        <w:rPr>
          <w:rFonts w:ascii="Times New Roman" w:cs="Times New Roman" w:eastAsia="Times New Roman" w:hAnsi="Times New Roman"/>
          <w:sz w:val="17"/>
          <w:szCs w:val="17"/>
          <w:color w:val="auto"/>
        </w:rPr>
      </w:pPr>
    </w:p>
    <w:p>
      <w:pPr>
        <w:ind w:left="307" w:right="40" w:hanging="307"/>
        <w:spacing w:after="0" w:line="271" w:lineRule="auto"/>
        <w:tabs>
          <w:tab w:leader="none" w:pos="3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420" w:right="339" w:bottom="1440" w:gutter="0" w:footer="0" w:header="0"/>
        </w:sectPr>
      </w:pPr>
    </w:p>
    <w:bookmarkStart w:id="4" w:name="page5"/>
    <w:bookmarkEnd w:id="4"/>
    <w:p>
      <w:pPr>
        <w:ind w:left="620" w:right="40" w:hanging="307"/>
        <w:spacing w:after="0" w:line="271"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resulting from our designation of the Court of Chancery of the State of Delaware as the sole and exclusive forum for certain types of actions and proceedings;</w:t>
      </w:r>
    </w:p>
    <w:p>
      <w:pPr>
        <w:spacing w:after="0" w:line="190"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2023,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December 31,</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9"/>
              </w:rPr>
              <w:t>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Pr>
          <w:p>
            <w:pPr>
              <w:spacing w:after="0"/>
              <w:rPr>
                <w:sz w:val="18"/>
                <w:szCs w:val="18"/>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Trade, net of allowance of $1,705 and $1,649, respectively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388,556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363,836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76,934</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95,655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48,620</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727,591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671,296</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63,410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56,208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20,383</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61,761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16,147</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1,042,019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296,797</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103,771</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421,909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400,568</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42,098</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tax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22,047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16,951</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498,407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481,664</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issued and 20,213,976 and 20,194,218 outstanding, respectively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Treasury stock, at cost, 1,835,553 and 1,855,311 shares, respectively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(49,450)</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203,431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295,784</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488,643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449,985</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1,042,019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7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574,874</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490,640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479,436</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143,804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95,438</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85,850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67,768</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Gain on sale of assets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(13,060)</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57,990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40,661</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38,782</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15,398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10,028</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28,754</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6"/>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20,199,587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20,242,114</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20,435,148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20,449,035</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13"/>
          </w:tcPr>
          <w:p>
            <w:pPr>
              <w:ind w:left="820"/>
              <w:spacing w:after="0"/>
              <w:rPr>
                <w:sz w:val="20"/>
                <w:szCs w:val="20"/>
                <w:color w:val="auto"/>
              </w:rPr>
            </w:pPr>
            <w:r>
              <w:rPr>
                <w:rFonts w:ascii="Times New Roman" w:cs="Times New Roman" w:eastAsia="Times New Roman" w:hAnsi="Times New Roman"/>
                <w:sz w:val="14"/>
                <w:szCs w:val="14"/>
                <w:color w:val="auto"/>
              </w:rPr>
              <w:t>Three Months Ended December 31, 2023</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gridSpan w:val="9"/>
          </w:tcPr>
          <w:p>
            <w:pPr>
              <w:ind w:left="500"/>
              <w:spacing w:after="0"/>
              <w:rPr>
                <w:sz w:val="20"/>
                <w:szCs w:val="20"/>
                <w:color w:val="auto"/>
              </w:rPr>
            </w:pPr>
            <w:r>
              <w:rPr>
                <w:rFonts w:ascii="Times New Roman" w:cs="Times New Roman" w:eastAsia="Times New Roman" w:hAnsi="Times New Roman"/>
                <w:sz w:val="14"/>
                <w:szCs w:val="14"/>
                <w:color w:val="auto"/>
              </w:rPr>
              <w:t>Common Stock</w:t>
            </w:r>
          </w:p>
        </w:tc>
        <w:tc>
          <w:tcPr>
            <w:tcW w:w="2300" w:type="dxa"/>
            <w:vAlign w:val="bottom"/>
            <w:gridSpan w:val="8"/>
          </w:tcPr>
          <w:p>
            <w:pPr>
              <w:ind w:left="66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Additional Paid-In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5"/>
                <w:szCs w:val="15"/>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5"/>
                <w:szCs w:val="15"/>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3"/>
        </w:trPr>
        <w:tc>
          <w:tcPr>
            <w:tcW w:w="3220" w:type="dxa"/>
            <w:vAlign w:val="bottom"/>
            <w:tcBorders>
              <w:top w:val="single" w:sz="8" w:color="CCEEFF"/>
            </w:tcBorders>
            <w:gridSpan w:val="2"/>
            <w:shd w:val="clear" w:color="auto" w:fill="CCEEFF"/>
          </w:tcPr>
          <w:p>
            <w:pPr>
              <w:jc w:val="center"/>
              <w:ind w:right="1320"/>
              <w:spacing w:after="0"/>
              <w:rPr>
                <w:sz w:val="20"/>
                <w:szCs w:val="20"/>
                <w:color w:val="auto"/>
              </w:rPr>
            </w:pPr>
            <w:r>
              <w:rPr>
                <w:rFonts w:ascii="Times New Roman" w:cs="Times New Roman" w:eastAsia="Times New Roman" w:hAnsi="Times New Roman"/>
                <w:sz w:val="14"/>
                <w:szCs w:val="14"/>
                <w:color w:val="auto"/>
                <w:w w:val="98"/>
              </w:rPr>
              <w:t>BALANCE, September 30,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(1,855,311)</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(49,450)</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203,431</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295,784</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449,985</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10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(12,422)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Non-cash compensation</w:t>
            </w:r>
          </w:p>
        </w:tc>
        <w:tc>
          <w:tcPr>
            <w:tcW w:w="10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10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10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20" w:type="dxa"/>
            <w:vAlign w:val="bottom"/>
            <w:tcBorders>
              <w:top w:val="single" w:sz="8" w:color="CCEEFF"/>
              <w:bottom w:val="single" w:sz="8" w:color="CCEEFF"/>
            </w:tcBorders>
            <w:gridSpan w:val="2"/>
            <w:shd w:val="clear" w:color="auto" w:fill="CCEEFF"/>
          </w:tcPr>
          <w:p>
            <w:pPr>
              <w:jc w:val="center"/>
              <w:ind w:right="1340"/>
              <w:spacing w:after="0"/>
              <w:rPr>
                <w:sz w:val="20"/>
                <w:szCs w:val="20"/>
                <w:color w:val="auto"/>
              </w:rPr>
            </w:pPr>
            <w:r>
              <w:rPr>
                <w:rFonts w:ascii="Times New Roman" w:cs="Times New Roman" w:eastAsia="Times New Roman" w:hAnsi="Times New Roman"/>
                <w:sz w:val="14"/>
                <w:szCs w:val="14"/>
                <w:color w:val="auto"/>
                <w:w w:val="98"/>
              </w:rPr>
              <w:t>BALANCE, December 31,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(1,835,553)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203,986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488,643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13"/>
          </w:tcPr>
          <w:p>
            <w:pPr>
              <w:ind w:left="800"/>
              <w:spacing w:after="0"/>
              <w:rPr>
                <w:sz w:val="20"/>
                <w:szCs w:val="20"/>
                <w:color w:val="auto"/>
              </w:rPr>
            </w:pPr>
            <w:r>
              <w:rPr>
                <w:rFonts w:ascii="Times New Roman" w:cs="Times New Roman" w:eastAsia="Times New Roman" w:hAnsi="Times New Roman"/>
                <w:sz w:val="14"/>
                <w:szCs w:val="14"/>
                <w:color w:val="auto"/>
              </w:rPr>
              <w:t>Three Months Ended December 31, 2022</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9"/>
          </w:tcPr>
          <w:p>
            <w:pPr>
              <w:spacing w:after="0" w:line="20" w:lineRule="exact"/>
              <w:rPr>
                <w:sz w:val="1"/>
                <w:szCs w:val="1"/>
                <w:color w:val="auto"/>
              </w:rPr>
            </w:pPr>
          </w:p>
        </w:tc>
        <w:tc>
          <w:tcPr>
            <w:tcW w:w="2300" w:type="dxa"/>
            <w:vAlign w:val="bottom"/>
            <w:tcBorders>
              <w:bottom w:val="single" w:sz="8" w:color="auto"/>
            </w:tcBorders>
            <w:gridSpan w:val="8"/>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gridSpan w:val="9"/>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2300" w:type="dxa"/>
            <w:vAlign w:val="bottom"/>
            <w:gridSpan w:val="8"/>
          </w:tcPr>
          <w:p>
            <w:pPr>
              <w:ind w:left="660"/>
              <w:spacing w:after="0"/>
              <w:rPr>
                <w:sz w:val="20"/>
                <w:szCs w:val="20"/>
                <w:color w:val="auto"/>
              </w:rPr>
            </w:pPr>
            <w:r>
              <w:rPr>
                <w:rFonts w:ascii="Times New Roman" w:cs="Times New Roman" w:eastAsia="Times New Roman" w:hAnsi="Times New Roman"/>
                <w:sz w:val="14"/>
                <w:szCs w:val="14"/>
                <w:color w:val="auto"/>
              </w:rPr>
              <w:t>Treasury Stock</w:t>
            </w:r>
          </w:p>
        </w:tc>
        <w:tc>
          <w:tcPr>
            <w:tcW w:w="12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 Paid -In</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2"/>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5"/>
            <w:vMerge w:val="continue"/>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16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5"/>
                <w:szCs w:val="15"/>
                <w:color w:val="auto"/>
              </w:rPr>
            </w:pP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1"/>
        </w:trPr>
        <w:tc>
          <w:tcPr>
            <w:tcW w:w="3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(1,707,629)</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201,871</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203,197</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71,013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(239,060)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Non-cash compensation</w:t>
            </w: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1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2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4"/>
                <w:szCs w:val="14"/>
                <w:color w:val="auto"/>
                <w:w w:val="98"/>
              </w:rPr>
              <w:t>BALANCE, December 31,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(1,875,676)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622"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43,588</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28,754</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Bad debt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6,388</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Gain on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Unrealized gain on trading securities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(5,113)</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(11,766)</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(29,780)</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10,722</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w:t>
            </w:r>
          </w:p>
        </w:tc>
      </w:tr>
      <w:tr>
        <w:trPr>
          <w:trHeight w:val="212"/>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24,953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14,344</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(2,712)</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19,205</w:t>
            </w:r>
          </w:p>
        </w:tc>
      </w:tr>
      <w:tr>
        <w:trPr>
          <w:trHeight w:val="219"/>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equity investments</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16,328</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Borrowings of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654,039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607,974</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Repayments of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(654,039)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(647,639)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Settlement of contingent consideration liability</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w:t>
            </w:r>
          </w:p>
        </w:tc>
      </w:tr>
      <w:tr>
        <w:trPr>
          <w:trHeight w:val="219"/>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(7,489)</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(50,275)</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(19,603)</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75,770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24,848</w:t>
            </w:r>
          </w:p>
        </w:tc>
      </w:tr>
      <w:tr>
        <w:trPr>
          <w:trHeight w:val="251"/>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87,456</w:t>
            </w:r>
          </w:p>
        </w:tc>
        <w:tc>
          <w:tcPr>
            <w:tcW w:w="14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Cash paid for interest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w:t>
            </w:r>
          </w:p>
        </w:tc>
      </w:tr>
      <w:tr>
        <w:trPr>
          <w:trHeight w:val="223"/>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28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2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32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80" w:hanging="307"/>
        <w:spacing w:after="0" w:line="25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right="40" w:hanging="307"/>
        <w:spacing w:after="0" w:line="26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2023.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right="100"/>
        <w:spacing w:after="0" w:line="287" w:lineRule="auto"/>
        <w:rPr>
          <w:sz w:val="20"/>
          <w:szCs w:val="20"/>
          <w:color w:val="auto"/>
        </w:rPr>
      </w:pPr>
      <w:r>
        <w:rPr>
          <w:rFonts w:ascii="Times New Roman" w:cs="Times New Roman" w:eastAsia="Times New Roman" w:hAnsi="Times New Roman"/>
          <w:sz w:val="17"/>
          <w:szCs w:val="17"/>
          <w:color w:val="auto"/>
        </w:rPr>
        <w:t>amounts assuming the noncontrolling interests were redeemable at the balance sheet date. If all of the noncontrolling interests remaining outstanding at December 31, 2023 had been redeemable at that date, the redemption amount would have been $54,969.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Accounting Standard Update No. 2021-08, Business Combinations (Topic 805): Accounting for Contract Assets and Contract Liabilities from Contracts with Customers (“ASU 2021-08”). This standard amends the existing guidance under ASC 805 to add contract assets and contract liabilities to the list of exceptions to the recognition and measurement principles that apply to business combinations. Under this standard, the acquirer of a business is expected to recognize and measure acquired contract assets and contract liabilities as if the acquirer entered into the original contract on the same date with the same terms in accordance with ASC 606 rather than at fair value on the date of acquisition. This update is effective for fiscal years beginning after December 15, 2022 and for interim periods within that year. We adopted this standard on October 1, 2023 using the prospective method. ASU 2021-08 will impact how we account for future business combinations.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57 percent of the Company’s outstanding common stock based on a Form 4 filed by Tontine with the SEC on January 24, 2024 and the Company's shares outstanding as of January 31, 2024.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Should Tontine sell or otherwise dispose of all or a portion of its position in IES, a change in control of IES could occur. A change of control would trigger the change of control provisions in a number of our material agreements, including our credit agreement, bonding agreements with our sureties and our executive severance plan.</w:t>
      </w:r>
    </w:p>
    <w:p>
      <w:pPr>
        <w:spacing w:after="0" w:line="1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Payments by the Company are at a rate consistent with that paid by Tontine Associates to its landlord.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11" w:name="page12"/>
    <w:bookmarkEnd w:id="11"/>
    <w:p>
      <w:pPr>
        <w:ind w:right="500"/>
        <w:spacing w:after="0" w:line="287" w:lineRule="auto"/>
        <w:rPr>
          <w:sz w:val="20"/>
          <w:szCs w:val="20"/>
          <w:color w:val="auto"/>
        </w:rPr>
      </w:pPr>
      <w:r>
        <w:rPr>
          <w:rFonts w:ascii="Times New Roman" w:cs="Times New Roman" w:eastAsia="Times New Roman" w:hAnsi="Times New Roman"/>
          <w:sz w:val="17"/>
          <w:szCs w:val="17"/>
          <w:color w:val="auto"/>
        </w:rPr>
        <w:t>incurred in his or her capacity as a Board Observer and such rights to coverage under the Company’s directors’ and officers’ liability insurance policy as are available to the Company’s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24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other than the Residential Single-family and Infrastructure Solutions Industrial Services businesses, as (i) control continuously transfers to the customer as work progresses at a project location controlled by the customer and (ii) we have the right to bill the customer as costs are incurred. Within our Infrastructure Solutions Custom Power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For arrangements where we recognize revenue over time,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4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months ended December 31, 2023 and 2022 was derived from the following activities. Certain prior period amounts have been reclassified to conform with the current period presentation, where applicable. See details in the following tables: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12"/>
          </w:tcPr>
          <w:p>
            <w:pPr>
              <w:jc w:val="center"/>
              <w:ind w:right="5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2"/>
        </w:trPr>
        <w:tc>
          <w:tcPr>
            <w:tcW w:w="1740" w:type="dxa"/>
            <w:vAlign w:val="bottom"/>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center"/>
              <w:ind w:right="534"/>
              <w:spacing w:after="0"/>
              <w:rPr>
                <w:sz w:val="20"/>
                <w:szCs w:val="20"/>
                <w:color w:val="auto"/>
              </w:rPr>
            </w:pPr>
            <w:r>
              <w:rPr>
                <w:rFonts w:ascii="Times New Roman" w:cs="Times New Roman" w:eastAsia="Times New Roman" w:hAnsi="Times New Roman"/>
                <w:sz w:val="17"/>
                <w:szCs w:val="17"/>
                <w:color w:val="auto"/>
                <w:w w:val="99"/>
              </w:rPr>
              <w:t>2022</w:t>
            </w:r>
          </w:p>
        </w:tc>
        <w:tc>
          <w:tcPr>
            <w:tcW w:w="140" w:type="dxa"/>
            <w:vAlign w:val="bottom"/>
            <w:tcBorders>
              <w:bottom w:val="single" w:sz="8" w:color="CCEEFF"/>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1740" w:type="dxa"/>
            <w:vAlign w:val="bottom"/>
          </w:tcPr>
          <w:p>
            <w:pPr>
              <w:spacing w:after="0"/>
              <w:rPr>
                <w:sz w:val="18"/>
                <w:szCs w:val="18"/>
                <w:color w:val="auto"/>
              </w:rPr>
            </w:pPr>
          </w:p>
        </w:tc>
        <w:tc>
          <w:tcPr>
            <w:tcW w:w="2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170,748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147,245</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1740" w:type="dxa"/>
            <w:vAlign w:val="bottom"/>
          </w:tcPr>
          <w:p>
            <w:pPr>
              <w:spacing w:after="0"/>
              <w:rPr>
                <w:sz w:val="19"/>
                <w:szCs w:val="19"/>
                <w:color w:val="auto"/>
              </w:rPr>
            </w:pPr>
          </w:p>
        </w:tc>
        <w:tc>
          <w:tcPr>
            <w:tcW w:w="22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Residential</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1740" w:type="dxa"/>
            <w:vAlign w:val="bottom"/>
          </w:tcPr>
          <w:p>
            <w:pPr>
              <w:spacing w:after="0"/>
              <w:rPr>
                <w:sz w:val="19"/>
                <w:szCs w:val="19"/>
                <w:color w:val="auto"/>
              </w:rPr>
            </w:pPr>
          </w:p>
        </w:tc>
        <w:tc>
          <w:tcPr>
            <w:tcW w:w="2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Single-family</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246,567</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243,710</w:t>
            </w:r>
          </w:p>
        </w:tc>
        <w:tc>
          <w:tcPr>
            <w:tcW w:w="14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1740" w:type="dxa"/>
            <w:vAlign w:val="bottom"/>
          </w:tcPr>
          <w:p>
            <w:pPr>
              <w:spacing w:after="0"/>
              <w:rPr>
                <w:sz w:val="19"/>
                <w:szCs w:val="19"/>
                <w:color w:val="auto"/>
              </w:rPr>
            </w:pPr>
          </w:p>
        </w:tc>
        <w:tc>
          <w:tcPr>
            <w:tcW w:w="22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Multi-family and Other</w:t>
            </w: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69,289</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74,368</w:t>
            </w:r>
          </w:p>
        </w:tc>
        <w:tc>
          <w:tcPr>
            <w:tcW w:w="140" w:type="dxa"/>
            <w:vAlign w:val="bottom"/>
            <w:tcBorders>
              <w:bottom w:val="single" w:sz="8" w:color="CCEEFF"/>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2"/>
        </w:trPr>
        <w:tc>
          <w:tcPr>
            <w:tcW w:w="1740" w:type="dxa"/>
            <w:vAlign w:val="bottom"/>
          </w:tcPr>
          <w:p>
            <w:pPr>
              <w:spacing w:after="0"/>
              <w:rPr>
                <w:sz w:val="18"/>
                <w:szCs w:val="18"/>
                <w:color w:val="auto"/>
              </w:rPr>
            </w:pPr>
          </w:p>
        </w:tc>
        <w:tc>
          <w:tcPr>
            <w:tcW w:w="2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Residential</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315,856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318,078</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1740" w:type="dxa"/>
            <w:vAlign w:val="bottom"/>
          </w:tcPr>
          <w:p>
            <w:pPr>
              <w:spacing w:after="0"/>
              <w:rPr>
                <w:sz w:val="19"/>
                <w:szCs w:val="19"/>
                <w:color w:val="auto"/>
              </w:rPr>
            </w:pPr>
          </w:p>
        </w:tc>
        <w:tc>
          <w:tcPr>
            <w:tcW w:w="22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Infrastructure Solutions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1740" w:type="dxa"/>
            <w:vAlign w:val="bottom"/>
          </w:tcPr>
          <w:p>
            <w:pPr>
              <w:spacing w:after="0"/>
              <w:rPr>
                <w:sz w:val="19"/>
                <w:szCs w:val="19"/>
                <w:color w:val="auto"/>
              </w:rPr>
            </w:pPr>
          </w:p>
        </w:tc>
        <w:tc>
          <w:tcPr>
            <w:tcW w:w="2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Industrial Services</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11,098</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10,955</w:t>
            </w:r>
          </w:p>
        </w:tc>
        <w:tc>
          <w:tcPr>
            <w:tcW w:w="14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1740" w:type="dxa"/>
            <w:vAlign w:val="bottom"/>
          </w:tcPr>
          <w:p>
            <w:pPr>
              <w:spacing w:after="0"/>
              <w:rPr>
                <w:sz w:val="19"/>
                <w:szCs w:val="19"/>
                <w:color w:val="auto"/>
              </w:rPr>
            </w:pPr>
          </w:p>
        </w:tc>
        <w:tc>
          <w:tcPr>
            <w:tcW w:w="22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Custom Power Solutions</w:t>
            </w: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51,790</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38,329</w:t>
            </w:r>
          </w:p>
        </w:tc>
        <w:tc>
          <w:tcPr>
            <w:tcW w:w="140" w:type="dxa"/>
            <w:vAlign w:val="bottom"/>
            <w:tcBorders>
              <w:bottom w:val="single" w:sz="8" w:color="CCEEFF"/>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2"/>
        </w:trPr>
        <w:tc>
          <w:tcPr>
            <w:tcW w:w="1740" w:type="dxa"/>
            <w:vAlign w:val="bottom"/>
          </w:tcPr>
          <w:p>
            <w:pPr>
              <w:spacing w:after="0"/>
              <w:rPr>
                <w:sz w:val="18"/>
                <w:szCs w:val="18"/>
                <w:color w:val="auto"/>
              </w:rPr>
            </w:pPr>
          </w:p>
        </w:tc>
        <w:tc>
          <w:tcPr>
            <w:tcW w:w="2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49,284</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1740" w:type="dxa"/>
            <w:vAlign w:val="bottom"/>
          </w:tcPr>
          <w:p>
            <w:pPr>
              <w:spacing w:after="0"/>
              <w:rPr>
                <w:sz w:val="19"/>
                <w:szCs w:val="19"/>
                <w:color w:val="auto"/>
              </w:rPr>
            </w:pPr>
          </w:p>
        </w:tc>
        <w:tc>
          <w:tcPr>
            <w:tcW w:w="22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84,952</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60,267</w:t>
            </w:r>
          </w:p>
        </w:tc>
        <w:tc>
          <w:tcPr>
            <w:tcW w:w="140" w:type="dxa"/>
            <w:vAlign w:val="bottom"/>
            <w:tcBorders>
              <w:bottom w:val="single" w:sz="8" w:color="CCEEFF"/>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7"/>
        </w:trPr>
        <w:tc>
          <w:tcPr>
            <w:tcW w:w="1740" w:type="dxa"/>
            <w:vAlign w:val="bottom"/>
          </w:tcPr>
          <w:p>
            <w:pPr>
              <w:spacing w:after="0"/>
              <w:rPr>
                <w:sz w:val="20"/>
                <w:szCs w:val="20"/>
                <w:color w:val="auto"/>
              </w:rPr>
            </w:pPr>
          </w:p>
        </w:tc>
        <w:tc>
          <w:tcPr>
            <w:tcW w:w="22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Revenue</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634,444</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574,874</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
        </w:trPr>
        <w:tc>
          <w:tcPr>
            <w:tcW w:w="1740" w:type="dxa"/>
            <w:vAlign w:val="bottom"/>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39"/>
        </w:trPr>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17"/>
                <w:szCs w:val="17"/>
                <w:color w:val="auto"/>
              </w:rPr>
              <w:t>Three Months Ended December 31, 2023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0"/>
        </w:trPr>
        <w:tc>
          <w:tcPr>
            <w:tcW w:w="17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2"/>
        </w:trPr>
        <w:tc>
          <w:tcPr>
            <w:tcW w:w="1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8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Solutions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1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20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125,223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315,856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73,910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575,869</w:t>
            </w:r>
          </w:p>
        </w:tc>
      </w:tr>
      <w:tr>
        <w:trPr>
          <w:trHeight w:val="219"/>
        </w:trPr>
        <w:tc>
          <w:tcPr>
            <w:tcW w:w="1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11,042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58,575</w:t>
            </w:r>
          </w:p>
        </w:tc>
      </w:tr>
      <w:tr>
        <w:trPr>
          <w:trHeight w:val="237"/>
        </w:trPr>
        <w:tc>
          <w:tcPr>
            <w:tcW w:w="1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20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315,856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84,952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634,444</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4"/>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1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17"/>
                <w:szCs w:val="17"/>
                <w:color w:val="auto"/>
              </w:rPr>
              <w:t>Three Months Ended December 31, 2022</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60"/>
        </w:trPr>
        <w:tc>
          <w:tcPr>
            <w:tcW w:w="17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color w:val="auto"/>
                <w:w w:val="99"/>
              </w:rPr>
              <w:t>Infrastructure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2"/>
        </w:trPr>
        <w:tc>
          <w:tcPr>
            <w:tcW w:w="174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Residential</w:t>
            </w: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Solutions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318,078</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47,546</w:t>
            </w:r>
          </w:p>
        </w:tc>
        <w:tc>
          <w:tcPr>
            <w:tcW w:w="26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51,895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504,793</w:t>
            </w:r>
          </w:p>
        </w:tc>
      </w:tr>
      <w:tr>
        <w:trPr>
          <w:trHeight w:val="219"/>
        </w:trPr>
        <w:tc>
          <w:tcPr>
            <w:tcW w:w="1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8,372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70,081</w:t>
            </w:r>
          </w:p>
        </w:tc>
      </w:tr>
      <w:tr>
        <w:trPr>
          <w:trHeight w:val="237"/>
        </w:trPr>
        <w:tc>
          <w:tcPr>
            <w:tcW w:w="1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318,078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60,267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574,874</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24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December 31, 2023, Accounts receivable included $5,347 of unbilled receivables for which we have an unconditional right to bill.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spacing w:after="0" w:line="20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During the three months ended December 31, 2023 and 2022, we recognized revenue of $77,964 and $38,047 related to our contract liabilities at October 1, 2023 and 2022, respectively.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December 31, 2023, we had remaining performance obligations of $1,072,593. The Company expects to recognize revenue on approximately $872,321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December 31, 2023, net revenue recognized from our performance obligations satisfied in previous periods was not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2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$150,000 under our revolving credit facility. The Amended Credit Agreement, which matures on September 30, 2026, contains customary affirmative, negative and financial covenants as disclosed in Item 7 of our Annual Report on Form 10-K for the fiscal year ended September 30, 2023. As of December 31, 2023, the Company was in compliance with the financial covenants under the Amended Credit Agreement.</w:t>
      </w:r>
    </w:p>
    <w:p>
      <w:pPr>
        <w:spacing w:after="0" w:line="197"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7"/>
          <w:szCs w:val="17"/>
          <w:color w:val="auto"/>
        </w:rPr>
        <w:t>At December 31, 2023 and at September 30, 2023, we had no outstanding borrowings under our revolving credit facility. At December 31, 2023, we also had $5,606 in outstanding letters of credit and total availability of $142,489 under our revolving credit facility without triggering the financial covenants under the Amended Credit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following tables reconcile the components of basic and diluted earnings per share for the three months ended December 31, 2023 and 2022:</w:t>
            </w:r>
          </w:p>
        </w:tc>
        <w:tc>
          <w:tcPr>
            <w:tcW w:w="1140" w:type="dxa"/>
            <w:vAlign w:val="bottom"/>
          </w:tcPr>
          <w:p>
            <w:pPr>
              <w:spacing w:after="0"/>
              <w:rPr>
                <w:sz w:val="19"/>
                <w:szCs w:val="19"/>
                <w:color w:val="auto"/>
              </w:rPr>
            </w:pPr>
          </w:p>
        </w:tc>
      </w:tr>
      <w:tr>
        <w:trPr>
          <w:trHeight w:val="245"/>
        </w:trPr>
        <w:tc>
          <w:tcPr>
            <w:tcW w:w="8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40,956</w:t>
            </w:r>
          </w:p>
        </w:tc>
        <w:tc>
          <w:tcPr>
            <w:tcW w:w="100" w:type="dxa"/>
            <w:vAlign w:val="bottom"/>
          </w:tcPr>
          <w:p>
            <w:pPr>
              <w:spacing w:after="0"/>
              <w:rPr>
                <w:sz w:val="19"/>
                <w:szCs w:val="19"/>
                <w:color w:val="auto"/>
              </w:rPr>
            </w:pPr>
          </w:p>
        </w:tc>
        <w:tc>
          <w:tcPr>
            <w:tcW w:w="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26,402</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w:t>
            </w: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restricted stockholders of IES Holdings, Inc.</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7"/>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20,199,587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20,242,114</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206,921</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20,435,148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20,449,035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23"/>
        </w:trPr>
        <w:tc>
          <w:tcPr>
            <w:tcW w:w="8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bl>
    <w:p>
      <w:pPr>
        <w:spacing w:after="0" w:line="37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For the three months ended December 31, 2023 and 2022, the average price of our common shares exceeded the exercise price of all of our outstanding stock options; therefore, all of our outstanding stock options were included in the computation of diluted earnings per share. For the three months ended December 31, 2023 and 2022, the computation of diluted earnings per share excluded 64,500 and 60,212 unvested Employee PSUs (as defined below), respectively, as the inclusion of such instruments would have been anti-dilutive.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520" w:firstLine="3"/>
        <w:spacing w:after="0" w:line="266" w:lineRule="auto"/>
        <w:tabs>
          <w:tab w:leader="none" w:pos="17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Chief Operating Decision Maker (“CODM”) reviews operating results for the purpose of allocating resources and assessing performance. The Company’s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CODM is its Chief Executive Officer.</w:t>
      </w:r>
    </w:p>
    <w:p>
      <w:pPr>
        <w:spacing w:after="0" w:line="24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organization provides general and administrative services, as well as support services, to each of our four operating segments. Management allocates certain shared costs among segments for selling, general and administrative expenses and depreciation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the three months ended December 31, 2023 and 2022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5"/>
                <w:szCs w:val="15"/>
                <w:color w:val="auto"/>
              </w:rPr>
              <w:t>Three Months Ended December 31, 2023</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170,748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315,856</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62,888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84,952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634,444</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134,473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240,425</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44,697</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71,045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490,640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36,275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75,431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18,191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13,907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143,804</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14,901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51,378</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7,285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5,439</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85,850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24,100</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(5,439)</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57,990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4,962</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7,617</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3,364</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2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215,475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388,808</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101,621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150,240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1,042,019</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5"/>
                <w:szCs w:val="15"/>
                <w:color w:val="auto"/>
              </w:rPr>
              <w:t>Three Months Ended December 31, 2022</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147,245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318,078</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49,284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574,874</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125,507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258,459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38,817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56,653</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479,436</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21,738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59,619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95,438</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12,297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39,051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5,761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5,689</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4,970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67,768</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(13,035)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(13,060)</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9,441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20,505</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(4,970)</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40,661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4,144</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6,388</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642</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395,243</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163,201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55,324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896,816</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547,804 shares were available for issuance at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December 2022, our Board authorized a stock repurchase program for the purchase from time to time of up to $40,000 of the Company’s common stock, replacing the Company's previous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219,731 shares of our common stock during the three months ended December 31, 2022 in open market transactions at an average price of</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$30.97 per share. We had no repurchases of common stock in open market transactions during the three months ended December 31,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During the three months ended December 31, 2023, we issued 32,180 shares of common stock from treasury stock to employees and repurchased 12,422 shares of common stock from our employees to satisfy statutory tax withholding requirements upon the vesting of certain performance phantom stock units under the Equity Incentive Plan.</w:t>
      </w:r>
    </w:p>
    <w:p>
      <w:pPr>
        <w:spacing w:after="0" w:line="19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During the three months ended December 31, 2022, we issued 71,013 shares of common stock from treasury stock to employees and repurchased 19,142 shares of common stock from our employees to satisfy statutory tax withholding requirements upon the vesting of certain performance phantom stock units under the Equity Incentive Plan. In addition, 187 restricted shares were forfeited and returned to treasury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7"/>
          <w:szCs w:val="17"/>
          <w:color w:val="auto"/>
        </w:rPr>
        <w:t>As of December 31, 2023, the Company had outstanding Employee PSUs, which, subject to the achievement of certain performance metrics, could result in the issuance of 376,533 shares of common stock. During the three months ended December 31, 2023, we granted 85,424 Employee PSUs, 2,535 were forfeited, and 32,180 vested.</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summary of the compensation expense related to our stock awards recognized during the three months ended December 31, 2023 and 2022 is provided in the table below:</w:t>
      </w:r>
    </w:p>
    <w:p>
      <w:pPr>
        <w:spacing w:after="0" w:line="370" w:lineRule="exact"/>
        <w:rPr>
          <w:sz w:val="20"/>
          <w:szCs w:val="20"/>
          <w:color w:val="auto"/>
        </w:rPr>
      </w:pPr>
    </w:p>
    <w:tbl>
      <w:tblPr>
        <w:tblLayout w:type="fixed"/>
        <w:tblInd w:w="152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4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Borders>
              <w:bottom w:val="single" w:sz="8" w:color="CCEEFF"/>
            </w:tcBorders>
          </w:tcPr>
          <w:p>
            <w:pPr>
              <w:spacing w:after="0"/>
              <w:rPr>
                <w:sz w:val="18"/>
                <w:szCs w:val="18"/>
                <w:color w:val="auto"/>
              </w:rPr>
            </w:pPr>
          </w:p>
        </w:tc>
      </w:tr>
      <w:tr>
        <w:trPr>
          <w:trHeight w:val="212"/>
        </w:trPr>
        <w:tc>
          <w:tcPr>
            <w:tcW w:w="4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Restricted stock awards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8"/>
                <w:szCs w:val="18"/>
                <w:color w:val="auto"/>
              </w:rPr>
            </w:pPr>
          </w:p>
        </w:tc>
      </w:tr>
      <w:tr>
        <w:trPr>
          <w:trHeight w:val="21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 PSUs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PSUs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December 31, 2023, financial assets and liabilities measured at fair value on a recurring basis were limited to our Executive Deferred Compensation Plan, under which certain employees are permitted to defer a portion of their base salary and/or bonus for a Plan Year (as defined in the plan), debt and equity investments classified as trading securities, and contingent consideration liabilities related to certain of our acquisitions.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 w:name="page17"/>
    <w:bookmarkEnd w:id="16"/>
    <w:p>
      <w:pPr>
        <w:ind w:right="160"/>
        <w:spacing w:after="0" w:line="276" w:lineRule="auto"/>
        <w:rPr>
          <w:sz w:val="20"/>
          <w:szCs w:val="20"/>
          <w:color w:val="auto"/>
        </w:rPr>
      </w:pPr>
      <w:r>
        <w:rPr>
          <w:rFonts w:ascii="Times New Roman" w:cs="Times New Roman" w:eastAsia="Times New Roman" w:hAnsi="Times New Roman"/>
          <w:sz w:val="17"/>
          <w:szCs w:val="17"/>
          <w:color w:val="auto"/>
        </w:rPr>
        <w:t>Financial assets (liabilities) measured at fair value on a recurring basis as of December 31, 2023 and September 30, 2023,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5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2023</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212"/>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In fiscal year 2021, we entered into a contingent consideration arrangement related to the acquisition of Bayonet. The table below presents the change in fair value of this obligation, which used significant unobservable inputs (Level 3). This obligation was settled during the three months ended December 31, 2023, and we did not have any other assets or liabilities measured using significant unobservable inputs at December 31, 2023.</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Fair value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-121285</wp:posOffset>
            </wp:positionV>
            <wp:extent cx="3978275"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78275" cy="139065"/>
                    </a:xfrm>
                    <a:prstGeom prst="rect">
                      <a:avLst/>
                    </a:prstGeom>
                    <a:noFill/>
                  </pic:spPr>
                </pic:pic>
              </a:graphicData>
            </a:graphic>
          </wp:anchor>
        </w:drawing>
      </w:r>
    </w:p>
    <w:p>
      <w:pPr>
        <w:spacing w:after="0" w:line="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Net adjustments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14605</wp:posOffset>
            </wp:positionV>
            <wp:extent cx="3978275" cy="139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78275" cy="139065"/>
                    </a:xfrm>
                    <a:prstGeom prst="rect">
                      <a:avLst/>
                    </a:prstGeom>
                    <a:noFill/>
                  </pic:spPr>
                </pic:pic>
              </a:graphicData>
            </a:graphic>
          </wp:anchor>
        </w:drawing>
      </w:r>
    </w:p>
    <w:p>
      <w:pPr>
        <w:spacing w:after="0" w:line="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Settlements</w:t>
      </w:r>
    </w:p>
    <w:p>
      <w:pPr>
        <w:spacing w:after="0" w:line="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Fair value at December 31, 2023</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2497"/>
        <w:spacing w:after="0"/>
        <w:rPr>
          <w:sz w:val="20"/>
          <w:szCs w:val="20"/>
          <w:color w:val="auto"/>
        </w:rPr>
      </w:pPr>
      <w:r>
        <w:rPr>
          <w:rFonts w:ascii="Times New Roman" w:cs="Times New Roman" w:eastAsia="Times New Roman" w:hAnsi="Times New Roman"/>
          <w:sz w:val="17"/>
          <w:szCs w:val="17"/>
          <w:color w:val="auto"/>
        </w:rPr>
        <w:t>Contingent Consideration</w:t>
      </w:r>
    </w:p>
    <w:p>
      <w:pPr>
        <w:spacing w:after="0" w:line="3" w:lineRule="exact"/>
        <w:rPr>
          <w:sz w:val="20"/>
          <w:szCs w:val="20"/>
          <w:color w:val="auto"/>
        </w:rPr>
      </w:pPr>
    </w:p>
    <w:p>
      <w:pPr>
        <w:jc w:val="center"/>
        <w:ind w:right="2497"/>
        <w:spacing w:after="0"/>
        <w:rPr>
          <w:sz w:val="20"/>
          <w:szCs w:val="20"/>
          <w:color w:val="auto"/>
        </w:rPr>
      </w:pPr>
      <w:r>
        <w:rPr>
          <w:rFonts w:ascii="Times New Roman" w:cs="Times New Roman" w:eastAsia="Times New Roman" w:hAnsi="Times New Roman"/>
          <w:sz w:val="17"/>
          <w:szCs w:val="17"/>
          <w:color w:val="auto"/>
        </w:rPr>
        <w:t>Agreements</w:t>
      </w:r>
    </w:p>
    <w:p>
      <w:pPr>
        <w:spacing w:after="0" w:line="10" w:lineRule="exact"/>
        <w:rPr>
          <w:sz w:val="20"/>
          <w:szCs w:val="20"/>
          <w:color w:val="auto"/>
        </w:rPr>
      </w:pPr>
    </w:p>
    <w:p>
      <w:pPr>
        <w:ind w:left="1323" w:hanging="1323"/>
        <w:spacing w:after="0"/>
        <w:tabs>
          <w:tab w:leader="none" w:pos="132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(4,465)</w:t>
      </w:r>
    </w:p>
    <w:p>
      <w:pPr>
        <w:spacing w:after="0" w:line="23" w:lineRule="exact"/>
        <w:rPr>
          <w:rFonts w:ascii="Times New Roman" w:cs="Times New Roman" w:eastAsia="Times New Roman" w:hAnsi="Times New Roman"/>
          <w:sz w:val="17"/>
          <w:szCs w:val="17"/>
          <w:color w:val="auto"/>
        </w:rPr>
      </w:pPr>
    </w:p>
    <w:p>
      <w:pPr>
        <w:ind w:left="152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w:t>
      </w:r>
    </w:p>
    <w:p>
      <w:pPr>
        <w:spacing w:after="0" w:line="24" w:lineRule="exact"/>
        <w:rPr>
          <w:sz w:val="20"/>
          <w:szCs w:val="20"/>
          <w:color w:val="auto"/>
        </w:rPr>
      </w:pPr>
    </w:p>
    <w:p>
      <w:pPr>
        <w:ind w:left="1383"/>
        <w:spacing w:after="0"/>
        <w:rPr>
          <w:sz w:val="20"/>
          <w:szCs w:val="20"/>
          <w:color w:val="auto"/>
        </w:rPr>
      </w:pPr>
      <w:r>
        <w:rPr>
          <w:rFonts w:ascii="Times New Roman" w:cs="Times New Roman" w:eastAsia="Times New Roman" w:hAnsi="Times New Roman"/>
          <w:sz w:val="17"/>
          <w:szCs w:val="17"/>
          <w:color w:val="auto"/>
        </w:rPr>
        <w:t>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1785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13" w:lineRule="exact"/>
        <w:rPr>
          <w:sz w:val="20"/>
          <w:szCs w:val="20"/>
          <w:color w:val="auto"/>
        </w:rPr>
      </w:pPr>
    </w:p>
    <w:p>
      <w:pPr>
        <w:ind w:left="3"/>
        <w:spacing w:after="0"/>
        <w:tabs>
          <w:tab w:leader="none" w:pos="1582"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11785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85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41910</wp:posOffset>
            </wp:positionV>
            <wp:extent cx="11785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6197" w:space="720"/>
            <w:col w:w="4323"/>
          </w:cols>
          <w:pgMar w:left="320" w:top="665" w:right="33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INVENTORY</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6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December 31,</w:t>
            </w: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64,983</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carrying value of goodwill by segment at December 31, 2023, which did not change from September 30,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Infrastructure</w:t>
            </w:r>
          </w:p>
        </w:tc>
        <w:tc>
          <w:tcPr>
            <w:tcW w:w="200" w:type="dxa"/>
            <w:vAlign w:val="bottom"/>
          </w:tcPr>
          <w:p>
            <w:pPr>
              <w:spacing w:after="0"/>
              <w:rPr>
                <w:sz w:val="16"/>
                <w:szCs w:val="16"/>
                <w:color w:val="auto"/>
              </w:rPr>
            </w:pPr>
          </w:p>
        </w:tc>
        <w:tc>
          <w:tcPr>
            <w:tcW w:w="1840" w:type="dxa"/>
            <w:vAlign w:val="bottom"/>
            <w:gridSpan w:val="3"/>
          </w:tcPr>
          <w:p>
            <w:pPr>
              <w:jc w:val="center"/>
              <w:ind w:right="594"/>
              <w:spacing w:after="0"/>
              <w:rPr>
                <w:sz w:val="20"/>
                <w:szCs w:val="20"/>
                <w:color w:val="auto"/>
              </w:rPr>
            </w:pPr>
            <w:r>
              <w:rPr>
                <w:rFonts w:ascii="Times New Roman" w:cs="Times New Roman" w:eastAsia="Times New Roman" w:hAnsi="Times New Roman"/>
                <w:sz w:val="17"/>
                <w:szCs w:val="17"/>
                <w:color w:val="auto"/>
              </w:rPr>
              <w:t>Commercial &amp;</w:t>
            </w:r>
          </w:p>
        </w:tc>
        <w:tc>
          <w:tcPr>
            <w:tcW w:w="1200" w:type="dxa"/>
            <w:vAlign w:val="bottom"/>
          </w:tcPr>
          <w:p>
            <w:pPr>
              <w:spacing w:after="0"/>
              <w:rPr>
                <w:sz w:val="16"/>
                <w:szCs w:val="16"/>
                <w:color w:val="auto"/>
              </w:rPr>
            </w:pPr>
          </w:p>
        </w:tc>
      </w:tr>
      <w:tr>
        <w:trPr>
          <w:trHeight w:val="223"/>
        </w:trPr>
        <w:tc>
          <w:tcPr>
            <w:tcW w:w="3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Solutions</w:t>
            </w:r>
          </w:p>
        </w:tc>
        <w:tc>
          <w:tcPr>
            <w:tcW w:w="200" w:type="dxa"/>
            <w:vAlign w:val="bottom"/>
          </w:tcPr>
          <w:p>
            <w:pPr>
              <w:spacing w:after="0"/>
              <w:rPr>
                <w:sz w:val="19"/>
                <w:szCs w:val="19"/>
                <w:color w:val="auto"/>
              </w:rPr>
            </w:pPr>
          </w:p>
        </w:tc>
        <w:tc>
          <w:tcPr>
            <w:tcW w:w="1840" w:type="dxa"/>
            <w:vAlign w:val="bottom"/>
            <w:gridSpan w:val="3"/>
          </w:tcPr>
          <w:p>
            <w:pPr>
              <w:jc w:val="center"/>
              <w:ind w:right="574"/>
              <w:spacing w:after="0"/>
              <w:rPr>
                <w:sz w:val="20"/>
                <w:szCs w:val="20"/>
                <w:color w:val="auto"/>
              </w:rPr>
            </w:pPr>
            <w:r>
              <w:rPr>
                <w:rFonts w:ascii="Times New Roman" w:cs="Times New Roman" w:eastAsia="Times New Roman" w:hAnsi="Times New Roman"/>
                <w:sz w:val="17"/>
                <w:szCs w:val="17"/>
                <w:color w:val="auto"/>
              </w:rPr>
              <w:t>Industrial</w:t>
            </w: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37"/>
        </w:trPr>
        <w:tc>
          <w:tcPr>
            <w:tcW w:w="30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655"/>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27"/>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5"/>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70"/>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Estimated Useful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line="170"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ind w:left="60"/>
              <w:spacing w:after="0" w:line="170" w:lineRule="exact"/>
              <w:rPr>
                <w:sz w:val="20"/>
                <w:szCs w:val="20"/>
                <w:color w:val="auto"/>
              </w:rPr>
            </w:pPr>
            <w:r>
              <w:rPr>
                <w:rFonts w:ascii="Times New Roman" w:cs="Times New Roman" w:eastAsia="Times New Roman" w:hAnsi="Times New Roman"/>
                <w:sz w:val="17"/>
                <w:szCs w:val="17"/>
                <w:color w:val="auto"/>
              </w:rPr>
              <w:t>Accumulated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8"/>
          </w:tcPr>
          <w:p>
            <w:pPr>
              <w:jc w:val="center"/>
              <w:ind w:right="3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60" w:type="dxa"/>
            <w:vAlign w:val="bottom"/>
          </w:tcPr>
          <w:p>
            <w:pPr>
              <w:spacing w:after="0"/>
              <w:rPr>
                <w:sz w:val="19"/>
                <w:szCs w:val="19"/>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440" w:type="dxa"/>
            <w:vAlign w:val="bottom"/>
          </w:tcPr>
          <w:p>
            <w:pPr>
              <w:spacing w:after="0"/>
              <w:rPr>
                <w:sz w:val="19"/>
                <w:szCs w:val="19"/>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6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(7,349)</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7,272</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(45,751)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45,675</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111,445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(58,304)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53,141</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85"/>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2023</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0"/>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5"/>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2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2"/>
        </w:trPr>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8"/>
          </w:tcPr>
          <w:p>
            <w:pPr>
              <w:jc w:val="center"/>
              <w:ind w:right="38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6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440" w:type="dxa"/>
            <w:vAlign w:val="bottom"/>
          </w:tcPr>
          <w:p>
            <w:pPr>
              <w:spacing w:after="0"/>
              <w:rPr>
                <w:sz w:val="20"/>
                <w:szCs w:val="20"/>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6</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48,361</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56,208</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December 31, 2023 and September 30, 2023, we had $9,334 and $7,726,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20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2023 and September 30, 2023, $5,606 and $4,166, respectively, of our outstanding letters of credit was utilized to collateralize our insurance program.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As of December 31, 2023, the estimated cost to complete our bonded projects was approximately $136,569.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2023, we did not have any such firm commitments to purchase materials outstanding.</w:t>
      </w: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22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Current operating and finance lease liabilities of $20,184 and $4,529, respectively, as of December 31, 2023, and 19,496 and 4,301, respectively, as of September 30, 2023,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December 31, 2023 are as follows: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9"/>
        </w:trPr>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tcPr>
          <w:p>
            <w:pPr>
              <w:spacing w:after="0"/>
              <w:rPr>
                <w:sz w:val="24"/>
                <w:szCs w:val="24"/>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22,370</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17,890</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12,001</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6,060</w:t>
            </w: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6,234</w:t>
            </w:r>
          </w:p>
        </w:tc>
      </w:tr>
      <w:tr>
        <w:trPr>
          <w:trHeight w:val="212"/>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70,464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84,055</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9,242</w:t>
            </w:r>
          </w:p>
        </w:tc>
      </w:tr>
      <w:tr>
        <w:trPr>
          <w:trHeight w:val="237"/>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62,521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12,292</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74,813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December 31, 2023 is $2,880.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Lease cost recognized in our Condensed Consolidated Statements of Comprehensive Income is summarized as follows:</w:t>
      </w:r>
    </w:p>
    <w:p>
      <w:pPr>
        <w:spacing w:after="0" w:line="204" w:lineRule="exact"/>
        <w:rPr>
          <w:sz w:val="20"/>
          <w:szCs w:val="20"/>
          <w:color w:val="auto"/>
        </w:rPr>
      </w:pPr>
    </w:p>
    <w:tbl>
      <w:tblPr>
        <w:tblLayout w:type="fixed"/>
        <w:tblInd w:w="174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Three Months Ended</w:t>
            </w:r>
          </w:p>
        </w:tc>
      </w:tr>
      <w:tr>
        <w:trPr>
          <w:trHeight w:val="212"/>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December 31, 2023</w:t>
            </w:r>
          </w:p>
        </w:tc>
        <w:tc>
          <w:tcPr>
            <w:tcW w:w="140" w:type="dxa"/>
            <w:vAlign w:val="bottom"/>
          </w:tcPr>
          <w:p>
            <w:pPr>
              <w:spacing w:after="0"/>
              <w:rPr>
                <w:sz w:val="18"/>
                <w:szCs w:val="18"/>
                <w:color w:val="auto"/>
              </w:rPr>
            </w:pP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December 31, 2022</w:t>
            </w:r>
          </w:p>
        </w:tc>
      </w:tr>
      <w:tr>
        <w:trPr>
          <w:trHeight w:val="212"/>
        </w:trPr>
        <w:tc>
          <w:tcPr>
            <w:tcW w:w="43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4,926</w:t>
            </w:r>
          </w:p>
        </w:tc>
      </w:tr>
      <w:tr>
        <w:trPr>
          <w:trHeight w:val="219"/>
        </w:trPr>
        <w:tc>
          <w:tcPr>
            <w:tcW w:w="4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9"/>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r>
      <w:tr>
        <w:trPr>
          <w:trHeight w:val="219"/>
        </w:trPr>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12"/>
        </w:trPr>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Finance lease cost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19"/>
        </w:trPr>
        <w:tc>
          <w:tcPr>
            <w:tcW w:w="4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r>
      <w:tr>
        <w:trPr>
          <w:trHeight w:val="219"/>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r>
      <w:tr>
        <w:trPr>
          <w:trHeight w:val="212"/>
        </w:trPr>
        <w:tc>
          <w:tcPr>
            <w:tcW w:w="4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6,753</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Condensed Consolidated Financial Statements is summarized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Three Months Ended</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2"/>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December 31, 2023</w:t>
            </w:r>
          </w:p>
        </w:tc>
        <w:tc>
          <w:tcPr>
            <w:tcW w:w="17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December 31, 2022</w:t>
            </w:r>
          </w:p>
        </w:tc>
        <w:tc>
          <w:tcPr>
            <w:tcW w:w="1440" w:type="dxa"/>
            <w:vAlign w:val="bottom"/>
            <w:gridSpan w:val="2"/>
          </w:tcPr>
          <w:p>
            <w:pPr>
              <w:spacing w:after="0"/>
              <w:rPr>
                <w:sz w:val="18"/>
                <w:szCs w:val="18"/>
                <w:color w:val="auto"/>
              </w:rPr>
            </w:pPr>
          </w:p>
        </w:tc>
      </w:tr>
      <w:tr>
        <w:trPr>
          <w:trHeight w:val="212"/>
        </w:trPr>
        <w:tc>
          <w:tcPr>
            <w:tcW w:w="42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w:t>
            </w:r>
          </w:p>
        </w:tc>
        <w:tc>
          <w:tcPr>
            <w:tcW w:w="1160" w:type="dxa"/>
            <w:vAlign w:val="bottom"/>
            <w:tcBorders>
              <w:top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5,951</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4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68"/>
        </w:trPr>
        <w:tc>
          <w:tcPr>
            <w:tcW w:w="4260" w:type="dxa"/>
            <w:vAlign w:val="bottom"/>
            <w:shd w:val="clear" w:color="auto" w:fill="CCEEFF"/>
          </w:tcPr>
          <w:p>
            <w:pPr>
              <w:ind w:left="40"/>
              <w:spacing w:after="0" w:line="167" w:lineRule="exact"/>
              <w:rPr>
                <w:sz w:val="20"/>
                <w:szCs w:val="20"/>
                <w:color w:val="auto"/>
              </w:rPr>
            </w:pPr>
            <w:r>
              <w:rPr>
                <w:rFonts w:ascii="Times New Roman" w:cs="Times New Roman" w:eastAsia="Times New Roman" w:hAnsi="Times New Roman"/>
                <w:sz w:val="17"/>
                <w:szCs w:val="17"/>
                <w:color w:val="auto"/>
              </w:rPr>
              <w:t>Right-of-use assets obtained in exchange for new operating</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r>
      <w:tr>
        <w:trPr>
          <w:trHeight w:val="232"/>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lease liabilities</w:t>
            </w: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6,459</w:t>
            </w:r>
          </w:p>
        </w:tc>
        <w:tc>
          <w:tcPr>
            <w:tcW w:w="1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6,319</w:t>
            </w:r>
          </w:p>
        </w:tc>
        <w:tc>
          <w:tcPr>
            <w:tcW w:w="8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168"/>
        </w:trPr>
        <w:tc>
          <w:tcPr>
            <w:tcW w:w="426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Right-of-use assets obtained in exchange for new finance</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2"/>
        </w:trPr>
        <w:tc>
          <w:tcPr>
            <w:tcW w:w="4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lease liabilities</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7"/>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December 31, 2023</w:t>
            </w:r>
          </w:p>
        </w:tc>
        <w:tc>
          <w:tcPr>
            <w:tcW w:w="6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9"/>
              </w:rPr>
              <w:t>September 30, 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years</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years</w:t>
            </w: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 years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years</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BUSINESS COMBINATIONS AND DIVESTITURES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completed no acquisitions during the three months ended December 31, 2023 or during the year ended September 30, 2023.</w:t>
      </w:r>
    </w:p>
    <w:p>
      <w:pPr>
        <w:spacing w:after="0" w:line="24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On October 7, 2022, we sold 100% of the membership interests of STR Mechanical, LLC and its subsidiary Technical Services II, LLC (collectively, “STR”). As a result, we recognized a pre-tax gain of $13,045, which was included in “Gain on sale of assets” within our Condensed Consolidated Statements of Comprehensive Income for the three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fiscal year ended September 30, 2023,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fiscal year ended September 30, 2023,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and Operating Conditions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Increases in the target federal funds rate throughout calendar years 2022 and 2023 have resulted in higher mortgage rates, which when combined with elevated materials and labor costs, have had a substantial impact on the affordability of housing. While there continue to be several trends, such as rising household formation and population growth in our key markets, that we expect will drive long-term demand for our services in the single-family housing market, decreased housing affordability has led to uncertainty around near-term demand for our services in this market. Within the various other end markets we serve, our customers' capital budgets for new construction projects may be impacted by broader economic, technological or other factors.</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COVID-19 pandemic and its impact on markets, the supply chain and the labor force continue to be areas of focus for our business as we work to protect our workforce and serve our customers. While the pandemic has had less of an impact on our business in the first quarter of fiscal 2024 compared with prior fiscal years, this or any future pandemic or other public health emergency could impact our workforce, customers and suppliers. An inability to procure materials in a timely manner, to complete work on schedule, and to reflect higher materials or labor costs in our pricing to customers has had, and could have in the future, a significant impact on our operating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 xml:space="preserve">Please refer to Part I. Item 1A. </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i w:val="1"/>
          <w:iCs w:val="1"/>
          <w:color w:val="212529"/>
        </w:rPr>
        <w:t>Risk Factors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212529"/>
        </w:rPr>
        <w:t xml:space="preserve"> of our Annual Report on Form 10-K for the fiscal year ended </w:t>
      </w:r>
      <w:r>
        <w:rPr>
          <w:rFonts w:ascii="Times New Roman" w:cs="Times New Roman" w:eastAsia="Times New Roman" w:hAnsi="Times New Roman"/>
          <w:sz w:val="17"/>
          <w:szCs w:val="17"/>
          <w:color w:val="000000"/>
        </w:rPr>
        <w:t>September 30, 2023</w:t>
      </w:r>
      <w:r>
        <w:rPr>
          <w:rFonts w:ascii="Times New Roman" w:cs="Times New Roman" w:eastAsia="Times New Roman" w:hAnsi="Times New Roman"/>
          <w:sz w:val="17"/>
          <w:szCs w:val="17"/>
          <w:color w:val="212529"/>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7"/>
          </w:tcPr>
          <w:p>
            <w:pPr>
              <w:jc w:val="center"/>
              <w:ind w:right="4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854"/>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2022</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20" w:type="dxa"/>
            <w:vAlign w:val="bottom"/>
            <w:gridSpan w:val="8"/>
          </w:tcPr>
          <w:p>
            <w:pPr>
              <w:jc w:val="center"/>
              <w:ind w:right="30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634,444</w:t>
            </w:r>
          </w:p>
        </w:tc>
        <w:tc>
          <w:tcPr>
            <w:tcW w:w="12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490,640</w:t>
            </w:r>
          </w:p>
        </w:tc>
        <w:tc>
          <w:tcPr>
            <w:tcW w:w="12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77.3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479,436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83.4</w:t>
            </w:r>
          </w:p>
        </w:tc>
        <w:tc>
          <w:tcPr>
            <w:tcW w:w="280" w:type="dxa"/>
            <w:vAlign w:val="bottom"/>
          </w:tcPr>
          <w:p>
            <w:pPr>
              <w:spacing w:after="0"/>
              <w:rPr>
                <w:sz w:val="19"/>
                <w:szCs w:val="19"/>
                <w:color w:val="auto"/>
              </w:rPr>
            </w:pPr>
          </w:p>
        </w:tc>
      </w:tr>
      <w:tr>
        <w:trPr>
          <w:trHeight w:val="212"/>
        </w:trPr>
        <w:tc>
          <w:tcPr>
            <w:tcW w:w="57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143,804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22.7</w:t>
            </w: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tcBorders>
              <w:top w:val="single" w:sz="8" w:color="auto"/>
            </w:tcBorders>
            <w:shd w:val="clear" w:color="auto" w:fill="CCEEFF"/>
          </w:tcPr>
          <w:p>
            <w:pPr>
              <w:spacing w:after="0"/>
              <w:rPr>
                <w:sz w:val="18"/>
                <w:szCs w:val="18"/>
                <w:color w:val="auto"/>
              </w:rPr>
            </w:pP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85,850</w:t>
            </w:r>
          </w:p>
        </w:tc>
        <w:tc>
          <w:tcPr>
            <w:tcW w:w="12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11.8</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57,990</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7.1</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income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6.7</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15,398</w:t>
            </w:r>
          </w:p>
        </w:tc>
        <w:tc>
          <w:tcPr>
            <w:tcW w:w="12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Pr>
          <w:p>
            <w:pPr>
              <w:spacing w:after="0"/>
              <w:rPr>
                <w:sz w:val="19"/>
                <w:szCs w:val="19"/>
                <w:color w:val="auto"/>
              </w:rPr>
            </w:pPr>
          </w:p>
        </w:tc>
      </w:tr>
      <w:tr>
        <w:trPr>
          <w:trHeight w:val="212"/>
        </w:trPr>
        <w:tc>
          <w:tcPr>
            <w:tcW w:w="57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43,588</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Consolidated revenues for the three months ended December 31, 2023, were $59.6 million higher than for the three months ended December 31, 2022, an increase of 10.4%, with increases at our Communications, Infrastructure Solutions and Commercial &amp; Industrial operating segments, slightly offset by a decrease at our Residential segment. See further discussion below of changes in revenues for our individual segments.</w:t>
      </w:r>
    </w:p>
    <w:p>
      <w:pPr>
        <w:spacing w:after="0" w:line="19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Consolidated gross profit for the three months ended December 31, 2023 increased $48.4 million compared to the three months ended December 31, 2022. Our overall gross profit percentage was 22.7% during the three months ended December 31, 2023, as compared to 16.6% during the three months ended December 31, 2022. Gross profit as a percentage of revenue increased at all four of our operating segments. See further discussion below of changes in gross margin for our individual segments.</w:t>
      </w:r>
    </w:p>
    <w:p>
      <w:pPr>
        <w:spacing w:after="0" w:line="197"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During the three months ended December 31, 2023, our selling, general and administrative expenses were $85.9 million, an increase of $18.1 million, or 26.7%, over the three months ended December 31, 2022, driven largely by increased personnel costs at our Residential operating segment in connection with a reorganization of the segment's management structure in fiscal 2023 and higher incentive compensation at the division level as a result of higher earnings. Selling, general and administrative expenses as a percentage of revenue increased from 11.8% for the three months ended December 31, 2022 to 13.5% for the three months ended December 31, 2023.</w:t>
      </w:r>
    </w:p>
    <w:p>
      <w:pPr>
        <w:spacing w:after="0" w:line="196" w:lineRule="exact"/>
        <w:rPr>
          <w:sz w:val="20"/>
          <w:szCs w:val="20"/>
          <w:color w:val="auto"/>
        </w:rPr>
      </w:pPr>
    </w:p>
    <w:p>
      <w:pPr>
        <w:ind w:right="780"/>
        <w:spacing w:after="0" w:line="292" w:lineRule="auto"/>
        <w:rPr>
          <w:sz w:val="20"/>
          <w:szCs w:val="20"/>
          <w:color w:val="auto"/>
        </w:rPr>
      </w:pPr>
      <w:r>
        <w:rPr>
          <w:rFonts w:ascii="Times New Roman" w:cs="Times New Roman" w:eastAsia="Times New Roman" w:hAnsi="Times New Roman"/>
          <w:sz w:val="17"/>
          <w:szCs w:val="17"/>
          <w:i w:val="1"/>
          <w:iCs w:val="1"/>
          <w:color w:val="auto"/>
        </w:rPr>
        <w:t>Gain on Sale of Asset</w:t>
      </w:r>
      <w:r>
        <w:rPr>
          <w:rFonts w:ascii="Times New Roman" w:cs="Times New Roman" w:eastAsia="Times New Roman" w:hAnsi="Times New Roman"/>
          <w:sz w:val="17"/>
          <w:szCs w:val="17"/>
          <w:color w:val="auto"/>
        </w:rPr>
        <w:t>s. Our results for the three months ended December 31, 2022 included a pretax gain on sale of $13.0 million from the sale of STR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Mechanical, LLC (“STR”) on October 7, 2022. STR previously operated as part of our Commercial &amp; Industrial segment.</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429" w:right="3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7"/>
          </w:tcPr>
          <w:p>
            <w:pPr>
              <w:jc w:val="center"/>
              <w:ind w:right="6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2022</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85.2</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14.8</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8.4</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21,378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6.4</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$23.5 million during the three months ended December 31, 2023, or 16.0%,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December 31, 2022. The increase primarily resulted from an increase in demand from high-tech manufacturing and e-commerce distribution center customers.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December 31, 2023 increased by $14.5 million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December 31, 2022. Gross profit as a percentage of revenue increased from 14.8% to 21.2%. The increase in profitability in the three months ended December 31, 2023 was primarily the result of improved project execution and pricing during the period, as well as the impact of investments we have made in hiring and training personnel to support the growth of our business.</w:t>
      </w:r>
    </w:p>
    <w:p>
      <w:pPr>
        <w:spacing w:after="0" w:line="19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$2.6 million, or 21.2%,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December 31, 2023, compared to the three months ended December 31, 2022. The increase is primarily a result of higher personnel cost including higher incentive compensation as a result of higher earnings, investment in an organizational structure that will enhance the scalability of our business, and higher wages in an increasingly competitive labor market. Selling, general and administrative expenses as a percentage of revenue in the Communications segment were 8.7% during the three months ended December 31, 2023, compared to 8.4% for the three months ended December 31, 2022.</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5"/>
        </w:trPr>
        <w:tc>
          <w:tcPr>
            <w:tcW w:w="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7"/>
          </w:tcPr>
          <w:p>
            <w:pPr>
              <w:jc w:val="center"/>
              <w:ind w:right="6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2023</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2022</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0" w:type="dxa"/>
            <w:vAlign w:val="bottom"/>
            <w:gridSpan w:val="9"/>
          </w:tcPr>
          <w:p>
            <w:pPr>
              <w:jc w:val="center"/>
              <w:ind w:right="2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318,078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240,425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76.1</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258,459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81.3</w:t>
            </w:r>
          </w:p>
        </w:tc>
        <w:tc>
          <w:tcPr>
            <w:tcW w:w="30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59,619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18.7</w:t>
            </w:r>
          </w:p>
        </w:tc>
        <w:tc>
          <w:tcPr>
            <w:tcW w:w="300" w:type="dxa"/>
            <w:vAlign w:val="bottom"/>
            <w:shd w:val="clear" w:color="auto" w:fill="CCEEFF"/>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decreased by $2.2 million, or 0.7%, during the three months ended December 31, 2023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December 31, 2022. Our multi-family revenue decreased as we have become more selective in our bidding process, and have reduced our activity in certain areas where we experienced project execution challenges in the prior year, resulting in a $5.1 million decrease in revenues compared to the prior year period. This was partially offset by expansion into new markets and continued strong demand in our single-family business, where revenues increased by $2.9 million compared to the prior year period.</w:t>
      </w:r>
    </w:p>
    <w:p>
      <w:pPr>
        <w:spacing w:after="0" w:line="19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December 31, 2023, our Residential segment's gross profit increased by $15.8 million, or 26.5%,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December 31, 2022. Gross profit as a percentage of revenue increased to 23.9% during the three months ended December 31, 2023, from 18.7% for the three months ended December 31, 2022. The increase in profitability was driven primarily by improved project execution in our multi-family business, as well as the benefit of improved procurement and other processes implemented as part of the reorganization of the segment in fiscal 2023.</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3" w:name="page24"/>
    <w:bookmarkEnd w:id="23"/>
    <w:p>
      <w:pPr>
        <w:ind w:right="4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$12.3 million, or 31.6%,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December 31, 2023, compared to the three months ended December 31, 2022. The increase was driven by higher personnel costs in connection with a reorganization of the segment's management structure in fiscal 2023 and incentive profit sharing for division management. Selling, general and administrative expenses as a percentage of revenue in the Residential segment increased to 16.3% during the three months ended December 31, 2023, compared to 12.3% in the three months ended December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2023</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2022</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gridSpan w:val="10"/>
          </w:tcPr>
          <w:p>
            <w:pPr>
              <w:jc w:val="right"/>
              <w:ind w:right="5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49,284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44,697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71.1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38,817</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78.8</w:t>
            </w:r>
          </w:p>
        </w:tc>
        <w:tc>
          <w:tcPr>
            <w:tcW w:w="280" w:type="dxa"/>
            <w:vAlign w:val="bottom"/>
            <w:tcBorders>
              <w:bottom w:val="single" w:sz="8" w:color="auto"/>
            </w:tcBorders>
          </w:tcPr>
          <w:p>
            <w:pPr>
              <w:spacing w:after="0"/>
              <w:rPr>
                <w:sz w:val="19"/>
                <w:szCs w:val="19"/>
                <w:color w:val="auto"/>
              </w:rPr>
            </w:pPr>
          </w:p>
        </w:tc>
      </w:tr>
      <w:tr>
        <w:trPr>
          <w:trHeight w:val="212"/>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21.2</w:t>
            </w:r>
          </w:p>
        </w:tc>
        <w:tc>
          <w:tcPr>
            <w:tcW w:w="280" w:type="dxa"/>
            <w:vAlign w:val="bottom"/>
            <w:shd w:val="clear" w:color="auto" w:fill="CCEEFF"/>
          </w:tcPr>
          <w:p>
            <w:pPr>
              <w:spacing w:after="0"/>
              <w:rPr>
                <w:sz w:val="18"/>
                <w:szCs w:val="18"/>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11.7</w:t>
            </w:r>
          </w:p>
        </w:tc>
        <w:tc>
          <w:tcPr>
            <w:tcW w:w="280" w:type="dxa"/>
            <w:vAlign w:val="bottom"/>
          </w:tcPr>
          <w:p>
            <w:pPr>
              <w:spacing w:after="0"/>
              <w:rPr>
                <w:sz w:val="19"/>
                <w:szCs w:val="19"/>
                <w:color w:val="auto"/>
              </w:rPr>
            </w:pPr>
          </w:p>
        </w:tc>
      </w:tr>
      <w:tr>
        <w:trPr>
          <w:trHeight w:val="219"/>
        </w:trPr>
        <w:tc>
          <w:tcPr>
            <w:tcW w:w="5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6"/>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10,906</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17.3</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4,725</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9.6</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8"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$13.6 million during the three months ended December 31, 2023, an increase of 27.6%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December 31, 2022, driven primarily by continued strong demand in our custom power solutions manufacturing businesses.</w:t>
      </w:r>
    </w:p>
    <w:p>
      <w:pPr>
        <w:spacing w:after="0" w:line="169"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December 31, 2023 increased $7.7 million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December 31, 2022, primarily resulting from operational improvements within our manufacturing facilities during the quarter, as well as improved pricing. Gross profit as a percentage of revenue increased from 21.2% to 28.9%.</w:t>
      </w:r>
    </w:p>
    <w:p>
      <w:pPr>
        <w:spacing w:after="0" w:line="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2023 increased $1.5 million when compared to the three months ended December 31, 2022, primarily as a result of increased employee compensation cost. Selling, general and administrative expenses as a percentage of revenue was 11.6% at December 31, 2023 compared to 11.7% at December 31,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5"/>
        </w:trPr>
        <w:tc>
          <w:tcPr>
            <w:tcW w:w="5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94.0</w:t>
            </w:r>
          </w:p>
        </w:tc>
        <w:tc>
          <w:tcPr>
            <w:tcW w:w="260" w:type="dxa"/>
            <w:vAlign w:val="bottom"/>
            <w:tcBorders>
              <w:bottom w:val="single" w:sz="8" w:color="auto"/>
            </w:tcBorders>
          </w:tcPr>
          <w:p>
            <w:pPr>
              <w:spacing w:after="0"/>
              <w:rPr>
                <w:sz w:val="19"/>
                <w:szCs w:val="19"/>
                <w:color w:val="auto"/>
              </w:rPr>
            </w:pPr>
          </w:p>
        </w:tc>
      </w:tr>
      <w:tr>
        <w:trPr>
          <w:trHeight w:val="212"/>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6.0</w:t>
            </w:r>
          </w:p>
        </w:tc>
        <w:tc>
          <w:tcPr>
            <w:tcW w:w="260" w:type="dxa"/>
            <w:vAlign w:val="bottom"/>
            <w:shd w:val="clear" w:color="auto" w:fill="CCEEFF"/>
          </w:tcPr>
          <w:p>
            <w:pPr>
              <w:spacing w:after="0"/>
              <w:rPr>
                <w:sz w:val="18"/>
                <w:szCs w:val="18"/>
                <w:color w:val="auto"/>
              </w:rPr>
            </w:pPr>
          </w:p>
        </w:tc>
      </w:tr>
      <w:tr>
        <w:trPr>
          <w:trHeight w:val="219"/>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9.4</w:t>
            </w:r>
          </w:p>
        </w:tc>
        <w:tc>
          <w:tcPr>
            <w:tcW w:w="260" w:type="dxa"/>
            <w:vAlign w:val="bottom"/>
          </w:tcPr>
          <w:p>
            <w:pPr>
              <w:spacing w:after="0"/>
              <w:rPr>
                <w:sz w:val="19"/>
                <w:szCs w:val="19"/>
                <w:color w:val="auto"/>
              </w:rPr>
            </w:pPr>
          </w:p>
        </w:tc>
      </w:tr>
      <w:tr>
        <w:trPr>
          <w:trHeight w:val="219"/>
        </w:trPr>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60" w:type="dxa"/>
            <w:vAlign w:val="bottom"/>
            <w:tcBorders>
              <w:bottom w:val="single" w:sz="8" w:color="auto"/>
            </w:tcBorders>
            <w:shd w:val="clear" w:color="auto" w:fill="CCEEFF"/>
          </w:tcPr>
          <w:p>
            <w:pPr>
              <w:spacing w:after="0"/>
              <w:rPr>
                <w:sz w:val="19"/>
                <w:szCs w:val="19"/>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18.2</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$24.7 million, or 41.0%, during the three months ended December 31, 2023,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December 31, 2022. The increase primarily relates to a large data center project.</w:t>
      </w:r>
    </w:p>
    <w:p>
      <w:pPr>
        <w:spacing w:after="0" w:line="1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December 31, 2023, increased by $10.3 million,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December 31, 2022. Gross profit as a percentage of revenue increased from 6.0% for the quarter ended December 31, 2022 to 16.4% for the quarter ended December 31, 2023. Our results for the quarter ended December 31, 2022 were impacted by continuing operating challenges at one branch that incurred significant losses during fiscal 2022 and into fiscal 2023. In the three months ended December 31, 2023, segment results benefited from improved project execution, improving bid margins in certain markets, and a more selective bidding strategy implemented in the prior year.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4" w:name="page25"/>
    <w:bookmarkEnd w:id="24"/>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2023 increased $1.2 million, or 20.4%, compared to the three months ended December 31, 2022. Selling, general and administrative expenses as a percentage of revenue decreased from 9.4% to 8.1% for the three months ended December 31, 2023 compared to the three months ended December 31, 2022 as we benefited from the scale of our operations.</w:t>
      </w:r>
    </w:p>
    <w:p>
      <w:pPr>
        <w:spacing w:after="0" w:line="190"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7"/>
          <w:szCs w:val="17"/>
          <w:i w:val="1"/>
          <w:iCs w:val="1"/>
          <w:color w:val="auto"/>
        </w:rPr>
        <w:t>Gain on Sale of Assets</w:t>
      </w:r>
      <w:r>
        <w:rPr>
          <w:rFonts w:ascii="Times New Roman" w:cs="Times New Roman" w:eastAsia="Times New Roman" w:hAnsi="Times New Roman"/>
          <w:sz w:val="17"/>
          <w:szCs w:val="17"/>
          <w:color w:val="auto"/>
        </w:rPr>
        <w:t>. As discussed above, our results for the three months ended December 31, 2022 included a pretax gain on sale of $13.0 million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sale of STR in October 2022.</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5080" w:type="dxa"/>
            <w:vAlign w:val="bottom"/>
            <w:gridSpan w:val="2"/>
          </w:tcPr>
          <w:p>
            <w:pPr>
              <w:jc w:val="right"/>
              <w:ind w:right="143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35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320" w:type="dxa"/>
            <w:vAlign w:val="bottom"/>
            <w:tcBorders>
              <w:bottom w:val="single" w:sz="8" w:color="auto"/>
            </w:tcBorders>
            <w:gridSpan w:val="5"/>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35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r>
      <w:tr>
        <w:trPr>
          <w:trHeight w:val="196"/>
        </w:trPr>
        <w:tc>
          <w:tcPr>
            <w:tcW w:w="35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gridSpan w:val="3"/>
          </w:tcPr>
          <w:p>
            <w:pPr>
              <w:jc w:val="right"/>
              <w:ind w:right="34"/>
              <w:spacing w:after="0"/>
              <w:rPr>
                <w:sz w:val="20"/>
                <w:szCs w:val="20"/>
                <w:color w:val="auto"/>
              </w:rPr>
            </w:pPr>
            <w:r>
              <w:rPr>
                <w:rFonts w:ascii="Times New Roman" w:cs="Times New Roman" w:eastAsia="Times New Roman" w:hAnsi="Times New Roman"/>
                <w:sz w:val="15"/>
                <w:szCs w:val="15"/>
                <w:color w:val="auto"/>
              </w:rPr>
              <w:t>(In thousands)</w:t>
            </w:r>
          </w:p>
        </w:tc>
        <w:tc>
          <w:tcPr>
            <w:tcW w:w="1100" w:type="dxa"/>
            <w:vAlign w:val="bottom"/>
          </w:tcPr>
          <w:p>
            <w:pPr>
              <w:spacing w:after="0"/>
              <w:rPr>
                <w:sz w:val="17"/>
                <w:szCs w:val="17"/>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08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r>
      <w:tr>
        <w:trPr>
          <w:trHeight w:val="245"/>
        </w:trPr>
        <w:tc>
          <w:tcPr>
            <w:tcW w:w="35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0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0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0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(income) expense, net</w:t>
            </w:r>
          </w:p>
        </w:tc>
        <w:tc>
          <w:tcPr>
            <w:tcW w:w="406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w:t>
            </w:r>
          </w:p>
        </w:tc>
      </w:tr>
      <w:tr>
        <w:trPr>
          <w:trHeight w:val="20"/>
        </w:trPr>
        <w:tc>
          <w:tcPr>
            <w:tcW w:w="3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During the three months ended December 31, 2023, we incurred interest expense of $0.4 million primarily comprised of interest on our finance lease agreements and fees on an average letter of credit balance of $5.6 million under our revolving credit facility and an average unused line of credit balance of $142.4 million. This compares to interest expense of $1.2 million for the three months ended December 31, 2022, primarily comprising interest expense from our revolving credit facility, which had an average outstanding balance of $43.0 million, in addition to fees on an average letter of credit balance of $5.4 million under our revolving credit facility and an average unused line of credit balance of $80.7 million. The reduction in interest expense in the three months ended December 31, 2023 compared to the three months ended December 31, 2022 was a result of a decrease in average outstanding borrowings under our revolving credit facility, which had no outstanding balance during the three months ended December 31, 2023.</w:t>
      </w:r>
    </w:p>
    <w:p>
      <w:pPr>
        <w:spacing w:after="0" w:line="20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improvement in Total other (income) expense, net for the three months ended December 31, 2023 as compared with December 31, 2022 is primarily the result of interest income earned during the three months ended December 31, 2023 on short-term investments made in late fiscal 2023 with no such interest income in the three months ended December 31, 2022, and unrealized gains on investments in trading securities of $0.1 million in the three months ended December 31, 2023, compared to no interest income and unrealized losses of $0.8 million in the three months ended December 31, 2022.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$15.4 million for the three months ended December 31, 2023, compared to $10.0 million for the three months ended December 31, 2022, driven by increased pretax income.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2023. Some of the more significant estimates include revenue recognition, business combinations, valuation allowance for deferred tax assets and income taxes.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significant changes to our accounting policies as disclosed in our Annual Report on Form 10-K for the fiscal year ended September 30, 2023.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 (in thousands):</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September 30,</w:t>
            </w:r>
          </w:p>
        </w:tc>
        <w:tc>
          <w:tcPr>
            <w:tcW w:w="28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June 30,</w:t>
            </w:r>
          </w:p>
        </w:tc>
        <w:tc>
          <w:tcPr>
            <w:tcW w:w="240" w:type="dxa"/>
            <w:vAlign w:val="bottom"/>
          </w:tcPr>
          <w:p>
            <w:pPr>
              <w:spacing w:after="0"/>
              <w:rPr>
                <w:sz w:val="19"/>
                <w:szCs w:val="19"/>
                <w:color w:val="auto"/>
              </w:rPr>
            </w:pP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March 31,</w:t>
            </w:r>
          </w:p>
        </w:tc>
      </w:tr>
      <w:tr>
        <w:trPr>
          <w:trHeight w:val="223"/>
        </w:trPr>
        <w:tc>
          <w:tcPr>
            <w:tcW w:w="4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1,072,593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1,071,605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1,012,111</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379,463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414,589</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458,057</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376,948</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1,452,056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1,558,012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1,529,662</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1,389,059</w:t>
            </w:r>
          </w:p>
        </w:tc>
      </w:tr>
    </w:tbl>
    <w:p>
      <w:pPr>
        <w:spacing w:after="0" w:line="1" w:lineRule="exact"/>
        <w:rPr>
          <w:sz w:val="20"/>
          <w:szCs w:val="20"/>
          <w:color w:val="auto"/>
        </w:rPr>
      </w:pPr>
    </w:p>
    <w:p>
      <w:pPr>
        <w:ind w:left="120" w:right="380" w:firstLine="10"/>
        <w:spacing w:after="0" w:line="253" w:lineRule="auto"/>
        <w:tabs>
          <w:tab w:leader="none" w:pos="33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-222885</wp:posOffset>
            </wp:positionV>
            <wp:extent cx="40443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44315" cy="8255"/>
                    </a:xfrm>
                    <a:prstGeom prst="rect">
                      <a:avLst/>
                    </a:prstGeom>
                    <a:noFill/>
                  </pic:spPr>
                </pic:pic>
              </a:graphicData>
            </a:graphic>
          </wp:anchor>
        </w:drawing>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During the three months ended December 31, 2023, working capital exclusive of cash increased by $23.3 million from September 30, 2023, reflecting a $44.6 million increase in current assets excluding cash partially offset by a $21.3 million increase in current liabilities during the period.</w:t>
      </w:r>
    </w:p>
    <w:p>
      <w:pPr>
        <w:spacing w:after="0" w:line="1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During the three months ended December 31, 2023, our current assets exclusive of cash increased to $640.1 million, as compared to $595.5 million as of September 30, 2023. An increase in activity at our Communications, Infrastructure Solutions and Commercial &amp; Industrial businesses drove a $24.7 million increase in trade accounts receivable. While the rate of collections may vary, our typically secured position, resulting from our ability in general to secure liens against our customers’ overdue receivables, offers some protection that collection will occur eventually to the extent that our security retains value. We also had an $18.1 million increase in inventories from advance material purchases primarily for projects not yet commenced in our Residential multi-family business.</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During the three months ended December 31, 2023, our total current liabilities increased by $21.3 million to $421.9 million, compared to $400.6 million as of September 30, 2023, driven by a $23.2 million increase in billings in excess of costs and estimated earnings driven by the timing of contract billings on projects on which revenue is recognized using the percentage of completion method, partially offset by a $1.9 million decrease in accounts payable and accrued expenses primarily as a result of the timing of payments by our Communications segment.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the estimated cost to complete our bonded projects was approximately $136.6 million.</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We are a party to the Third Amended and Restated Credit and Security Agreement (the "Amended Credit Agreement"), which provides for a maximum borrowing amount of $150 million. The Amended Credit Agreement contains customary affirmative, negative and financial covenants and events of default.</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26" w:name="page27"/>
    <w:bookmarkEnd w:id="26"/>
    <w:p>
      <w:pPr>
        <w:ind w:right="200"/>
        <w:spacing w:after="0" w:line="264"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as defined in the Amended Credit Agreement, that is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Level</w:t>
            </w:r>
          </w:p>
        </w:tc>
        <w:tc>
          <w:tcPr>
            <w:tcW w:w="8220" w:type="dxa"/>
            <w:vAlign w:val="bottom"/>
            <w:gridSpan w:val="2"/>
          </w:tcPr>
          <w:p>
            <w:pPr>
              <w:ind w:left="3660"/>
              <w:spacing w:after="0"/>
              <w:rPr>
                <w:sz w:val="20"/>
                <w:szCs w:val="20"/>
                <w:color w:val="auto"/>
              </w:rPr>
            </w:pPr>
            <w:r>
              <w:rPr>
                <w:rFonts w:ascii="Times New Roman" w:cs="Times New Roman" w:eastAsia="Times New Roman" w:hAnsi="Times New Roman"/>
                <w:sz w:val="17"/>
                <w:szCs w:val="17"/>
                <w:color w:val="auto"/>
              </w:rPr>
              <w:t>Thresholds</w:t>
            </w:r>
          </w:p>
        </w:tc>
        <w:tc>
          <w:tcPr>
            <w:tcW w:w="2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Rate Margin</w:t>
            </w:r>
          </w:p>
        </w:tc>
      </w:tr>
      <w:tr>
        <w:trPr>
          <w:trHeight w:val="25"/>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5"/>
                <w:szCs w:val="15"/>
                <w:color w:val="auto"/>
              </w:rPr>
            </w:pPr>
          </w:p>
        </w:tc>
        <w:tc>
          <w:tcPr>
            <w:tcW w:w="81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(each as defined in the Amended Credit</w:t>
            </w:r>
          </w:p>
        </w:tc>
        <w:tc>
          <w:tcPr>
            <w:tcW w:w="120" w:type="dxa"/>
            <w:vAlign w:val="bottom"/>
          </w:tcPr>
          <w:p>
            <w:pPr>
              <w:spacing w:after="0"/>
              <w:rPr>
                <w:sz w:val="15"/>
                <w:szCs w:val="15"/>
                <w:color w:val="auto"/>
              </w:rPr>
            </w:pPr>
          </w:p>
        </w:tc>
        <w:tc>
          <w:tcPr>
            <w:tcW w:w="21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Agreement) at any time during the period</w:t>
            </w:r>
          </w:p>
        </w:tc>
        <w:tc>
          <w:tcPr>
            <w:tcW w:w="2140" w:type="dxa"/>
            <w:vAlign w:val="bottom"/>
          </w:tcPr>
          <w:p>
            <w:pPr>
              <w:spacing w:after="0"/>
              <w:rPr>
                <w:sz w:val="19"/>
                <w:szCs w:val="19"/>
                <w:color w:val="auto"/>
              </w:rPr>
            </w:pPr>
          </w:p>
        </w:tc>
      </w:tr>
      <w:tr>
        <w:trPr>
          <w:trHeight w:val="26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9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28" w:lineRule="exact"/>
        <w:rPr>
          <w:sz w:val="20"/>
          <w:szCs w:val="20"/>
          <w:color w:val="auto"/>
        </w:rPr>
      </w:pPr>
    </w:p>
    <w:p>
      <w:pPr>
        <w:ind w:right="20" w:firstLine="3"/>
        <w:spacing w:after="0" w:line="266" w:lineRule="auto"/>
        <w:tabs>
          <w:tab w:leader="none" w:pos="24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2023, we were in compliance with the financial covenants under the Amended Credit Agreement, requiring that we maintain:</w:t>
      </w:r>
    </w:p>
    <w:p>
      <w:pPr>
        <w:spacing w:after="0" w:line="217" w:lineRule="exact"/>
        <w:rPr>
          <w:sz w:val="20"/>
          <w:szCs w:val="20"/>
          <w:color w:val="auto"/>
        </w:rPr>
      </w:pPr>
    </w:p>
    <w:p>
      <w:pPr>
        <w:ind w:left="1480" w:right="80" w:hanging="317"/>
        <w:spacing w:after="0" w:line="287" w:lineRule="auto"/>
        <w:tabs>
          <w:tab w:leader="none" w:pos="14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51" w:lineRule="exact"/>
        <w:rPr>
          <w:rFonts w:ascii="Times New Roman" w:cs="Times New Roman" w:eastAsia="Times New Roman" w:hAnsi="Times New Roman"/>
          <w:sz w:val="17"/>
          <w:szCs w:val="17"/>
          <w:color w:val="auto"/>
        </w:rPr>
      </w:pPr>
    </w:p>
    <w:p>
      <w:pPr>
        <w:ind w:left="1480" w:right="80" w:hanging="317"/>
        <w:spacing w:after="0" w:line="287" w:lineRule="auto"/>
        <w:tabs>
          <w:tab w:leader="none" w:pos="14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At December 31, 2023, our Liquidity was $229.9 million, our Excess Availability was $142.5 million (or greater than 50% of minimum Liquidity), and our Fixed Charge Coverage Ratio was 9.8:1.0.</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2023, we had $5.6 million in outstanding letters of credit and no outstanding borrowings under our revolving credit facility.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elevated commodity prices, and the steps taken to mitigate the impact of supply chain disruptions.</w:t>
      </w:r>
    </w:p>
    <w:p>
      <w:pPr>
        <w:spacing w:after="0" w:line="20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$25.0 million during the three months ended December 31, 2023, as compared to $14.3 million in the three months ended December 31, 2022. The increase in operating cash flow resulted from increased earnings, partially offset by an increase in cash used in working capital during the three months ended December 31, 2023 as compared with the three months ended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Net cash used in investing activities was $6.0 million for the three months ended December 31, 2023, compared to $16.3 million provided by investing activities in the three months ended December 31, 2022. During the three months ended December 31, 2023, we used $6.5 million for capital expenditures to support the growth of our business. During the three months ended December 31, 2022, the sale of assets, including the sale of STR, provided cash of $19.2 million, which was partially offset by $2.7 million used for capital expenditures.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December 31, 2023 was $7.3 million, compared to $50.3 million for the three months ended December 31, 2022. Net cash used in financing activities for the three months ended December 31, 2023 included $4.1 million to settle our contingent consideration liability related to prior year acquisitions and $1.3 million in distributions to noncontrolling interests under operating agreements in connection with certain acquisitions. Net cash used in financing activities for the three months ended December 31, 2022 included net repayments on our credit facility of $39.7 million, $7.5 million used to repurchase our common stock, including repurchases to satisfy statutory withholding requirements upon the vesting of employee stock compensation, and distributions of $2.3 million to noncontrolling interests under operating agreements in connection with certain acquisitions.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December 2022, our Board authorized a stock repurchase program for the purchase from time to time of up to $40.0 million of the Company’s common stock, replacing the Company's previous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had no purchases pursuant to our repurchase programs during the three months ended December 31, 2023.</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2023, we did not have any such firm commitments to purchase materials outstanding. There have been no other material changes in our material cash requirements from those disclosed in our Annual Report on Form 10-K for the fiscal year ended September 30, 2023. We expect that cash and cash equivalents, cash flow from operations and availability under our revolving credit facility will be sufficient to satisfy cash requirements during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2023.</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copper, aluminum, steel, electronic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Any long-term debt that may be outstanding from time to time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We had no borrowings outstanding under our revolving credit facility as of December 31,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2023,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11,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6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9"/>
              </w:rPr>
              <w:t>Total Number of</w:t>
            </w: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Maximum Dollar Value of</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7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Total Number of</w:t>
            </w:r>
          </w:p>
        </w:tc>
        <w:tc>
          <w:tcPr>
            <w:tcW w:w="15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Average Price Paid</w:t>
            </w:r>
          </w:p>
        </w:tc>
        <w:tc>
          <w:tcPr>
            <w:tcW w:w="1720" w:type="dxa"/>
            <w:vAlign w:val="bottom"/>
          </w:tcPr>
          <w:p>
            <w:pPr>
              <w:jc w:val="center"/>
              <w:ind w:right="74"/>
              <w:spacing w:after="0" w:line="177" w:lineRule="exact"/>
              <w:rPr>
                <w:sz w:val="20"/>
                <w:szCs w:val="20"/>
                <w:color w:val="auto"/>
              </w:rPr>
            </w:pPr>
            <w:r>
              <w:rPr>
                <w:rFonts w:ascii="Times New Roman" w:cs="Times New Roman" w:eastAsia="Times New Roman" w:hAnsi="Times New Roman"/>
                <w:sz w:val="17"/>
                <w:szCs w:val="17"/>
                <w:color w:val="auto"/>
              </w:rPr>
              <w:t>Shares Purchased as</w:t>
            </w:r>
          </w:p>
        </w:tc>
        <w:tc>
          <w:tcPr>
            <w:tcW w:w="2020" w:type="dxa"/>
            <w:vAlign w:val="bottom"/>
          </w:tcPr>
          <w:p>
            <w:pPr>
              <w:jc w:val="center"/>
              <w:ind w:right="54"/>
              <w:spacing w:after="0" w:line="177" w:lineRule="exact"/>
              <w:rPr>
                <w:sz w:val="20"/>
                <w:szCs w:val="20"/>
                <w:color w:val="auto"/>
              </w:rPr>
            </w:pPr>
            <w:r>
              <w:rPr>
                <w:rFonts w:ascii="Times New Roman" w:cs="Times New Roman" w:eastAsia="Times New Roman" w:hAnsi="Times New Roman"/>
                <w:sz w:val="17"/>
                <w:szCs w:val="17"/>
                <w:color w:val="auto"/>
                <w:w w:val="99"/>
              </w:rPr>
              <w:t>Shares That May Yet Be</w:t>
            </w:r>
          </w:p>
        </w:tc>
        <w:tc>
          <w:tcPr>
            <w:tcW w:w="0" w:type="dxa"/>
            <w:vAlign w:val="bottom"/>
          </w:tcPr>
          <w:p>
            <w:pPr>
              <w:spacing w:after="0"/>
              <w:rPr>
                <w:sz w:val="1"/>
                <w:szCs w:val="1"/>
                <w:color w:val="auto"/>
              </w:rPr>
            </w:pPr>
          </w:p>
        </w:tc>
      </w:tr>
      <w:tr>
        <w:trPr>
          <w:trHeight w:val="171"/>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74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74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7"/>
                <w:szCs w:val="17"/>
                <w:color w:val="auto"/>
              </w:rPr>
              <w:t>Part of a Publicly   Purchased Under the Publicly</w:t>
            </w:r>
          </w:p>
        </w:tc>
        <w:tc>
          <w:tcPr>
            <w:tcW w:w="0" w:type="dxa"/>
            <w:vAlign w:val="bottom"/>
          </w:tcPr>
          <w:p>
            <w:pPr>
              <w:spacing w:after="0"/>
              <w:rPr>
                <w:sz w:val="1"/>
                <w:szCs w:val="1"/>
                <w:color w:val="auto"/>
              </w:rPr>
            </w:pPr>
          </w:p>
        </w:tc>
      </w:tr>
      <w:tr>
        <w:trPr>
          <w:trHeight w:val="219"/>
        </w:trPr>
        <w:tc>
          <w:tcPr>
            <w:tcW w:w="3160" w:type="dxa"/>
            <w:vAlign w:val="bottom"/>
            <w:vMerge w:val="continue"/>
          </w:tcPr>
          <w:p>
            <w:pPr>
              <w:spacing w:after="0"/>
              <w:rPr>
                <w:sz w:val="19"/>
                <w:szCs w:val="19"/>
                <w:color w:val="auto"/>
              </w:rPr>
            </w:pPr>
          </w:p>
        </w:tc>
        <w:tc>
          <w:tcPr>
            <w:tcW w:w="1740" w:type="dxa"/>
            <w:vAlign w:val="bottom"/>
          </w:tcPr>
          <w:p>
            <w:pPr>
              <w:jc w:val="right"/>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Per Share</w:t>
            </w:r>
          </w:p>
        </w:tc>
        <w:tc>
          <w:tcPr>
            <w:tcW w:w="172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Announced Plan</w:t>
            </w:r>
          </w:p>
        </w:tc>
        <w:tc>
          <w:tcPr>
            <w:tcW w:w="2020" w:type="dxa"/>
            <w:vAlign w:val="bottom"/>
          </w:tcPr>
          <w:p>
            <w:pPr>
              <w:jc w:val="center"/>
              <w:ind w:right="54"/>
              <w:spacing w:after="0" w:line="219" w:lineRule="exact"/>
              <w:rPr>
                <w:sz w:val="20"/>
                <w:szCs w:val="20"/>
                <w:color w:val="auto"/>
              </w:rPr>
            </w:pPr>
            <w:r>
              <w:rPr>
                <w:rFonts w:ascii="Times New Roman" w:cs="Times New Roman" w:eastAsia="Times New Roman" w:hAnsi="Times New Roman"/>
                <w:sz w:val="17"/>
                <w:szCs w:val="17"/>
                <w:color w:val="auto"/>
                <w:w w:val="98"/>
              </w:rPr>
              <w:t xml:space="preserve">Announced Plan </w:t>
            </w:r>
            <w:r>
              <w:rPr>
                <w:rFonts w:ascii="Times New Roman" w:cs="Times New Roman" w:eastAsia="Times New Roman" w:hAnsi="Times New Roman"/>
                <w:sz w:val="22"/>
                <w:szCs w:val="22"/>
                <w:color w:val="auto"/>
                <w:w w:val="98"/>
                <w:vertAlign w:val="superscript"/>
              </w:rPr>
              <w:t>(2)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2023 – October 31, 2023</w:t>
            </w:r>
          </w:p>
        </w:tc>
        <w:tc>
          <w:tcPr>
            <w:tcW w:w="20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2023 – November 30, 2023</w:t>
            </w:r>
          </w:p>
        </w:tc>
        <w:tc>
          <w:tcPr>
            <w:tcW w:w="20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2023 – December 31,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74.70</w:t>
            </w:r>
          </w:p>
        </w:tc>
        <w:tc>
          <w:tcPr>
            <w:tcW w:w="17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74.70</w:t>
            </w:r>
          </w:p>
        </w:tc>
        <w:tc>
          <w:tcPr>
            <w:tcW w:w="172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37,588,964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20" w:right="20" w:hanging="385"/>
        <w:spacing w:after="0" w:line="307" w:lineRule="auto"/>
        <w:tabs>
          <w:tab w:leader="none" w:pos="56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purchased pursuant to the program described in footnote (2) below and shares of common stock repurchased from our employees to satisfy statutory tax withholding requirements upon the vesting of certain stock awards under the Equity Incentive Plan.</w:t>
      </w:r>
    </w:p>
    <w:p>
      <w:pPr>
        <w:ind w:left="560" w:hanging="325"/>
        <w:spacing w:after="0"/>
        <w:tabs>
          <w:tab w:leader="none" w:pos="5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2022, our Board authorized a stock repurchase program for the purchase of up to $40 million of the Company’s common stock from time to time.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Arrangements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December 31, 2023, none of the Company's directors or officers adopted, modified or terminated a “Rule 10b5-1 trading arrangement” or a “non-Rule 10b5-1 trading arrangement” as each term is defined under Item 408 of Regulation S-K.</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56">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56">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57">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57">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59">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59">
        <w:r>
          <w:rPr>
            <w:rFonts w:ascii="Times New Roman" w:cs="Times New Roman" w:eastAsia="Times New Roman" w:hAnsi="Times New Roman"/>
            <w:sz w:val="17"/>
            <w:szCs w:val="17"/>
            <w:u w:val="single" w:color="auto"/>
            <w:color w:val="0000FF"/>
          </w:rPr>
          <w:t>2016).</w:t>
        </w:r>
      </w:hyperlink>
    </w:p>
    <w:p>
      <w:pPr>
        <w:spacing w:after="0" w:line="37" w:lineRule="exact"/>
        <w:rPr>
          <w:sz w:val="20"/>
          <w:szCs w:val="20"/>
          <w:color w:val="auto"/>
        </w:rPr>
      </w:pPr>
    </w:p>
    <w:p>
      <w:pPr>
        <w:jc w:val="both"/>
        <w:ind w:left="1000" w:hanging="497"/>
        <w:spacing w:after="0" w:line="27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 — </w:t>
      </w:r>
      <w:hyperlink r:id="rId60">
        <w:r>
          <w:rPr>
            <w:rFonts w:ascii="Times New Roman" w:cs="Times New Roman" w:eastAsia="Times New Roman" w:hAnsi="Times New Roman"/>
            <w:sz w:val="17"/>
            <w:szCs w:val="17"/>
            <w:u w:val="single" w:color="auto"/>
            <w:color w:val="0000FF"/>
          </w:rPr>
          <w:t>Form of Time-Based Phantom Stock Unit Award Agreement under the Company's Amended and Restated 2006 Equity Incentive Plan, as amended</w:t>
        </w:r>
      </w:hyperlink>
      <w:r>
        <w:rPr>
          <w:rFonts w:ascii="Times New Roman" w:cs="Times New Roman" w:eastAsia="Times New Roman" w:hAnsi="Times New Roman"/>
          <w:sz w:val="15"/>
          <w:szCs w:val="15"/>
          <w:color w:val="auto"/>
        </w:rPr>
        <w:t xml:space="preserve"> </w:t>
      </w:r>
      <w:hyperlink r:id="rId60">
        <w:r>
          <w:rPr>
            <w:rFonts w:ascii="Times New Roman" w:cs="Times New Roman" w:eastAsia="Times New Roman" w:hAnsi="Times New Roman"/>
            <w:sz w:val="17"/>
            <w:szCs w:val="17"/>
            <w:u w:val="single" w:color="auto"/>
            <w:color w:val="0000FF"/>
          </w:rPr>
          <w:t>and restated effective February 9, 2016. (Incorporated by reference to Exhibit 10.1 to the Company's Current Report on Form 8-K filed on</w:t>
        </w:r>
      </w:hyperlink>
      <w:r>
        <w:rPr>
          <w:rFonts w:ascii="Times New Roman" w:cs="Times New Roman" w:eastAsia="Times New Roman" w:hAnsi="Times New Roman"/>
          <w:sz w:val="17"/>
          <w:szCs w:val="17"/>
          <w:u w:val="single" w:color="auto"/>
          <w:color w:val="0000FF"/>
        </w:rPr>
        <w:t xml:space="preserve"> </w:t>
      </w:r>
      <w:hyperlink r:id="rId60">
        <w:r>
          <w:rPr>
            <w:rFonts w:ascii="Times New Roman" w:cs="Times New Roman" w:eastAsia="Times New Roman" w:hAnsi="Times New Roman"/>
            <w:sz w:val="17"/>
            <w:szCs w:val="17"/>
            <w:u w:val="single" w:color="auto"/>
            <w:color w:val="0000FF"/>
          </w:rPr>
          <w:t>December 7, 2023).</w:t>
        </w:r>
      </w:hyperlink>
    </w:p>
    <w:p>
      <w:pPr>
        <w:ind w:left="500"/>
        <w:spacing w:after="0" w:line="220" w:lineRule="auto"/>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500"/>
        <w:spacing w:after="0" w:line="218"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94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540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rFonts w:ascii="Times New Roman" w:cs="Times New Roman" w:eastAsia="Times New Roman" w:hAnsi="Times New Roman"/>
          <w:sz w:val="15"/>
          <w:szCs w:val="15"/>
          <w:color w:val="auto"/>
        </w:rPr>
      </w:pPr>
    </w:p>
    <w:p>
      <w:pPr>
        <w:ind w:left="1000" w:hanging="234"/>
        <w:spacing w:after="0"/>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87"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February 2, 2024.</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709"/>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32</w:t>
            </w:r>
          </w:p>
        </w:tc>
      </w:tr>
    </w:tbl>
    <w:p>
      <w:pPr>
        <w:sectPr>
          <w:pgSz w:w="11900" w:h="16838" w:orient="portrait"/>
          <w:cols w:equalWidth="0" w:num="1">
            <w:col w:w="11240"/>
          </w:cols>
          <w:pgMar w:left="320" w:top="42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 2024</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 2024</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December 31, 2023 (the “Report”), I, Jeffrey L. 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22"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February 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December 31, 2023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February 2,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4"/>
    </w:lvl>
  </w:abstractNum>
  <w:abstractNum w:abstractNumId="7">
    <w:nsid w:val="25E45D32"/>
    <w:multiLevelType w:val="hybridMultilevel"/>
    <w:lvl w:ilvl="0">
      <w:lvlJc w:val="left"/>
      <w:lvlText w:val="&amp;"/>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3"/>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6">
    <w:nsid w:val="333AB1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7">
    <w:nsid w:val="721DA317"/>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lvl w:ilvl="1">
      <w:lvlJc w:val="left"/>
      <w:lvlText w:val="(%2)"/>
      <w:numFmt w:val="lowerLetter"/>
      <w:start w:val="2"/>
    </w:lvl>
  </w:abstractNum>
  <w:abstractNum w:abstractNumId="20">
    <w:nsid w:val="6763845E"/>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1">
    <w:nsid w:val="75A2A8D4"/>
    <w:multiLevelType w:val="hybridMultilevel"/>
    <w:lvl w:ilvl="0">
      <w:lvlJc w:val="left"/>
      <w:lvlText w:val="(%1)"/>
      <w:numFmt w:val="lowerLetter"/>
      <w:start w:val="3"/>
    </w:lvl>
    <w:lvl w:ilvl="1">
      <w:lvlJc w:val="left"/>
      <w:lvlText w:val="(%2)"/>
      <w:numFmt w:val="lowerLetter"/>
      <w:start w:val="4"/>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lvl w:ilvl="1">
      <w:lvlJc w:val="left"/>
      <w:lvlText w:val="(%2)"/>
      <w:numFmt w:val="lowerLetter"/>
      <w:start w:val="2"/>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56" Type="http://schemas.openxmlformats.org/officeDocument/2006/relationships/hyperlink" Target="http://www.sec.gov/Archives/edgar/data/1048268/000119312516674386/d211495dex31.htm" TargetMode="External"/><Relationship Id="rId57" Type="http://schemas.openxmlformats.org/officeDocument/2006/relationships/hyperlink" Target="http://www.sec.gov/Archives/edgar/data/1048268/000104826821000065/amendedandrestatedbylawsof.htm" TargetMode="External"/><Relationship Id="rId59" Type="http://schemas.openxmlformats.org/officeDocument/2006/relationships/hyperlink" Target="http://www.sec.gov/Archives/edgar/data/1048268/000119312516789187/d310826dex41.htm" TargetMode="External"/><Relationship Id="rId60" Type="http://schemas.openxmlformats.org/officeDocument/2006/relationships/hyperlink" Target="http://www.sec.gov/Archives/edgar/data/1048268/000104826823000098/q420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2024-02-02T06:56:21Z</dcterms:created>
  <dcterms:modified xsi:type="dcterms:W3CDTF">2024-02-02T06:56:21Z</dcterms:modified>
</cp:coreProperties>
</file>