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GENDELL JEFFREY L ET 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SOUND SHORE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IESC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251"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2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tcBorders>
              <w:top w:val="single" w:sz="8" w:color="2C2C2C"/>
              <w:bottom w:val="single" w:sz="8" w:color="2C2C2C"/>
            </w:tcBorders>
            <w:gridSpan w:val="3"/>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5"/>
            <w:vMerge w:val="continue"/>
          </w:tcPr>
          <w:p>
            <w:pPr>
              <w:spacing w:after="0" w:line="20" w:lineRule="exact"/>
              <w:rPr>
                <w:sz w:val="1"/>
                <w:szCs w:val="1"/>
                <w:color w:val="auto"/>
              </w:rPr>
            </w:pPr>
          </w:p>
        </w:tc>
        <w:tc>
          <w:tcPr>
            <w:tcW w:w="340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3400" w:type="dxa"/>
            <w:vAlign w:val="bottom"/>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vMerge w:val="restart"/>
          </w:tcPr>
          <w:p>
            <w:pPr>
              <w:ind w:left="1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06830</w:t>
            </w: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20" w:type="dxa"/>
            <w:vAlign w:val="bottom"/>
            <w:gridSpan w:val="4"/>
          </w:tcPr>
          <w:p>
            <w:pPr>
              <w:ind w:left="70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20" w:type="dxa"/>
            <w:vAlign w:val="bottom"/>
            <w:gridSpan w:val="4"/>
          </w:tcPr>
          <w:p>
            <w:pPr>
              <w:ind w:left="700"/>
              <w:spacing w:after="0" w:line="138" w:lineRule="exact"/>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ind w:left="700"/>
              <w:spacing w:after="0"/>
              <w:rPr>
                <w:sz w:val="20"/>
                <w:szCs w:val="20"/>
                <w:color w:val="auto"/>
              </w:rPr>
            </w:pPr>
            <w:r>
              <w:rPr>
                <w:rFonts w:ascii="Arial" w:cs="Arial" w:eastAsia="Arial" w:hAnsi="Arial"/>
                <w:sz w:val="13"/>
                <w:szCs w:val="13"/>
                <w:color w:val="auto"/>
              </w:rPr>
              <w:t>Person</w:t>
            </w: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80" w:type="dxa"/>
            <w:vAlign w:val="bottom"/>
            <w:tcBorders>
              <w:bottom w:val="single" w:sz="8" w:color="2C2C2C"/>
            </w:tcBorders>
            <w:gridSpan w:val="7"/>
          </w:tcPr>
          <w:p>
            <w:pPr>
              <w:spacing w:after="0"/>
              <w:rPr>
                <w:sz w:val="10"/>
                <w:szCs w:val="10"/>
                <w:color w:val="auto"/>
              </w:rPr>
            </w:pPr>
          </w:p>
        </w:tc>
        <w:tc>
          <w:tcPr>
            <w:tcW w:w="14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8260" w:type="dxa"/>
            <w:vAlign w:val="bottom"/>
            <w:tcBorders>
              <w:top w:val="single" w:sz="8" w:color="2C2C2C"/>
            </w:tcBorders>
            <w:gridSpan w:val="11"/>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14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 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w:t>
            </w: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(Instr. 3 and 4)</w:t>
            </w: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05/06/2026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670.03</w:t>
            </w: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10,585,161</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05/06/2026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671.22</w:t>
            </w:r>
            <w:r>
              <w:rPr>
                <w:rFonts w:ascii="Times New Roman" w:cs="Times New Roman" w:eastAsia="Times New Roman" w:hAnsi="Times New Roman"/>
                <w:sz w:val="22"/>
                <w:szCs w:val="22"/>
                <w:color w:val="008000"/>
                <w:w w:val="95"/>
                <w:vertAlign w:val="superscript"/>
              </w:rPr>
              <w:t>(6)</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10,581,161</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05/06/2026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7,000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672.52</w:t>
            </w:r>
            <w:r>
              <w:rPr>
                <w:rFonts w:ascii="Times New Roman" w:cs="Times New Roman" w:eastAsia="Times New Roman" w:hAnsi="Times New Roman"/>
                <w:sz w:val="22"/>
                <w:szCs w:val="22"/>
                <w:color w:val="008000"/>
                <w:w w:val="95"/>
                <w:vertAlign w:val="superscript"/>
              </w:rPr>
              <w:t>(7)</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10,574,161</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05/06/2026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3,610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673.74</w:t>
            </w:r>
            <w:r>
              <w:rPr>
                <w:rFonts w:ascii="Times New Roman" w:cs="Times New Roman" w:eastAsia="Times New Roman" w:hAnsi="Times New Roman"/>
                <w:sz w:val="22"/>
                <w:szCs w:val="22"/>
                <w:color w:val="008000"/>
                <w:w w:val="95"/>
                <w:vertAlign w:val="superscript"/>
              </w:rPr>
              <w:t>(8)</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10,570,551</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05/06/2026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390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674.85</w:t>
            </w:r>
            <w:r>
              <w:rPr>
                <w:rFonts w:ascii="Times New Roman" w:cs="Times New Roman" w:eastAsia="Times New Roman" w:hAnsi="Times New Roman"/>
                <w:sz w:val="22"/>
                <w:szCs w:val="22"/>
                <w:color w:val="008000"/>
                <w:w w:val="95"/>
                <w:vertAlign w:val="superscript"/>
              </w:rPr>
              <w:t>(9)</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10,570,161</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05/06/2026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675.62</w:t>
            </w: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10,567,161</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05/06/2026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677.16</w:t>
            </w:r>
            <w:r>
              <w:rPr>
                <w:rFonts w:ascii="Times New Roman" w:cs="Times New Roman" w:eastAsia="Times New Roman" w:hAnsi="Times New Roman"/>
                <w:sz w:val="22"/>
                <w:szCs w:val="22"/>
                <w:color w:val="008000"/>
                <w:w w:val="94"/>
                <w:vertAlign w:val="superscript"/>
              </w:rPr>
              <w:t>(10)</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10,562,161</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05/06/2026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103</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678.29</w:t>
            </w:r>
            <w:r>
              <w:rPr>
                <w:rFonts w:ascii="Times New Roman" w:cs="Times New Roman" w:eastAsia="Times New Roman" w:hAnsi="Times New Roman"/>
                <w:sz w:val="22"/>
                <w:szCs w:val="22"/>
                <w:color w:val="008000"/>
                <w:w w:val="94"/>
                <w:vertAlign w:val="superscript"/>
              </w:rPr>
              <w:t>(11)</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10,562,058</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05/06/2026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2,788</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681.3</w:t>
            </w:r>
            <w:r>
              <w:rPr>
                <w:rFonts w:ascii="Times New Roman" w:cs="Times New Roman" w:eastAsia="Times New Roman" w:hAnsi="Times New Roman"/>
                <w:sz w:val="22"/>
                <w:szCs w:val="22"/>
                <w:color w:val="008000"/>
                <w:w w:val="94"/>
                <w:vertAlign w:val="superscript"/>
              </w:rPr>
              <w:t>(12)</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10,559,270</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05/06/2026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7,206</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682.71</w:t>
            </w:r>
            <w:r>
              <w:rPr>
                <w:rFonts w:ascii="Times New Roman" w:cs="Times New Roman" w:eastAsia="Times New Roman" w:hAnsi="Times New Roman"/>
                <w:sz w:val="22"/>
                <w:szCs w:val="22"/>
                <w:color w:val="008000"/>
                <w:w w:val="94"/>
                <w:vertAlign w:val="superscript"/>
              </w:rPr>
              <w:t>(13)</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10,552,064</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05/06/2026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684.33</w:t>
            </w: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10,548,064</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05/06/2026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1,006</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686.41</w:t>
            </w:r>
            <w:r>
              <w:rPr>
                <w:rFonts w:ascii="Times New Roman" w:cs="Times New Roman" w:eastAsia="Times New Roman" w:hAnsi="Times New Roman"/>
                <w:sz w:val="22"/>
                <w:szCs w:val="22"/>
                <w:color w:val="008000"/>
                <w:w w:val="94"/>
                <w:vertAlign w:val="superscript"/>
              </w:rPr>
              <w:t>(14)</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10,547,058</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05/07/2026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677.47</w:t>
            </w: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10,547,057</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05/08/2026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672.45</w:t>
            </w:r>
            <w:r>
              <w:rPr>
                <w:rFonts w:ascii="Times New Roman" w:cs="Times New Roman" w:eastAsia="Times New Roman" w:hAnsi="Times New Roman"/>
                <w:sz w:val="22"/>
                <w:szCs w:val="22"/>
                <w:color w:val="008000"/>
                <w:w w:val="94"/>
                <w:vertAlign w:val="superscript"/>
              </w:rPr>
              <w:t>(15)</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10,545,057</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05/08/2026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673.47</w:t>
            </w: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10,545,005</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05/08/2026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674.98</w:t>
            </w:r>
            <w:r>
              <w:rPr>
                <w:rFonts w:ascii="Times New Roman" w:cs="Times New Roman" w:eastAsia="Times New Roman" w:hAnsi="Times New Roman"/>
                <w:sz w:val="22"/>
                <w:szCs w:val="22"/>
                <w:color w:val="008000"/>
                <w:w w:val="94"/>
                <w:vertAlign w:val="superscript"/>
              </w:rPr>
              <w:t>(16)</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10,540,005</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2C2C2C"/>
            </w:tcBorders>
          </w:tcPr>
          <w:p>
            <w:pPr>
              <w:spacing w:after="0"/>
              <w:rPr>
                <w:sz w:val="19"/>
                <w:szCs w:val="19"/>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11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1"/>
                <w:szCs w:val="11"/>
                <w:color w:val="008000"/>
              </w:rPr>
              <w:t>(3)(4)(5)</w:t>
            </w:r>
          </w:p>
        </w:tc>
        <w:tc>
          <w:tcPr>
            <w:tcW w:w="20" w:type="dxa"/>
            <w:vAlign w:val="bottom"/>
            <w:tcBorders>
              <w:bottom w:val="single" w:sz="8" w:color="2C2C2C"/>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116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8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440" w:type="dxa"/>
            <w:vAlign w:val="bottom"/>
            <w:shd w:val="clear" w:color="auto" w:fill="808080"/>
          </w:tcPr>
          <w:p>
            <w:pPr>
              <w:spacing w:after="0" w:line="20" w:lineRule="exact"/>
              <w:rPr>
                <w:sz w:val="1"/>
                <w:szCs w:val="1"/>
                <w:color w:val="auto"/>
              </w:rPr>
            </w:pPr>
          </w:p>
        </w:tc>
        <w:tc>
          <w:tcPr>
            <w:tcW w:w="94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144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74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0955" cy="2749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GENDELL JEFFREY L ET AL</w:t>
              </w:r>
            </w:hyperlink>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06830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TONTINE ASSET ASSOCIATES, L.L.C.</w:t>
              </w:r>
            </w:hyperlink>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06830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1"/>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TONTINE CAPITAL MANAGEMENT LLC</w:t>
              </w:r>
            </w:hyperlink>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06830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TONTINE CAPITAL OVERSEAS MASTER</w:t>
        </w:r>
      </w:hyperlink>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FUND II, L.P.</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18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18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8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06830</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18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TONTINE CAPITAL PARTNERS L P</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18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18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8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06830</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18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5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91" w:right="359" w:bottom="0" w:gutter="0" w:footer="0" w:header="0"/>
        </w:sectPr>
      </w:pPr>
    </w:p>
    <w:bookmarkStart w:id="2" w:name="page3"/>
    <w:bookmarkEnd w:id="2"/>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TONTINE MANAGEMENT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4785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2809240" cy="478536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Tontine Associates,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Tontine Capital Overseas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18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18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8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06830</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18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is filed jointly by Tontine Capital Partners, L.P., a Delaware limited partnership ("TCP"), Tontine Capital Management, L.L.C., a Delaware limited liability company ("TCM"), Tontine Management, L.L.C., a Delaware limited liability company ("TM"), Tontine Capital Overseas Master Fund II, L.P., a Delaware limited partnership ("TCP 2"), Tontine Asset Associates, L.L.C., a Delaware limited liability company ("TAA"), Tontine Associates, L.L.C., a Delaware limited liability company ("TA"), Tontine Capital Overseas GP, L.L.C., a Delaware limited liability company ("TCO"), and Jeffrey L. Gendell ("Mr. Gendell"). Mr. Gendell is the managing member of: (a) TCM, the general partner of TCP; (b) TM; (c) TAA, the general partner of TCP 2; (d) TA; and (e) TCO.</w:t>
      </w:r>
    </w:p>
    <w:p>
      <w:pPr>
        <w:spacing w:after="0" w:line="24"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TCP directly owns 5,524,391 shares of Common Stock, TCM directly owns 1,910,529 shares of Common Stock, TM directly owns 1,410,162 shares of Common Stock, TCP 2 directly owns 710,934 shares of Common Stock, TAA directly owns 96,891 shares of Common Stock, TA directly owns 640,057 shares of Common Stock, TCO directly owns 47,284 shares of Common Stock, Mr. Gendell directly owns 131,325 shares of Common Stock and 65,069 phantom stock units granted to him pursuant to the IES Holdings, Inc. 2006 Equity Incentive Plan, as amended and restated, and Mr. Gendell's adult children own 3,363 shares of Common Stock through trusts for which Mr. Gendell acts as trustee.</w:t>
      </w:r>
    </w:p>
    <w:p>
      <w:pPr>
        <w:spacing w:after="0" w:line="24" w:lineRule="exact"/>
        <w:rPr>
          <w:rFonts w:ascii="Times New Roman" w:cs="Times New Roman" w:eastAsia="Times New Roman" w:hAnsi="Times New Roman"/>
          <w:sz w:val="13"/>
          <w:szCs w:val="13"/>
          <w:color w:val="008000"/>
        </w:rPr>
      </w:pPr>
    </w:p>
    <w:p>
      <w:pPr>
        <w:ind w:left="20" w:right="4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foregoing securities may be deemed to be beneficially owned by Mr. Gendell. The foregoing securities held by TCP may be deemed to be beneficially owned by TCM. The foregoing securities held by TCP 2 may be deemed to be beneficially owned by TAA.</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Gendell disclaims beneficial ownership of the Issuer's securities reported herein for purposes of Section 16(a) under the Securities Exchange Act of 1934, as amended, or otherwise, except as to</w:t>
      </w:r>
    </w:p>
    <w:p>
      <w:pPr>
        <w:spacing w:after="0" w:line="11" w:lineRule="exact"/>
        <w:rPr>
          <w:rFonts w:ascii="Times New Roman" w:cs="Times New Roman" w:eastAsia="Times New Roman" w:hAnsi="Times New Roman"/>
          <w:sz w:val="13"/>
          <w:szCs w:val="13"/>
          <w:color w:val="008000"/>
        </w:rPr>
      </w:pPr>
    </w:p>
    <w:p>
      <w:pPr>
        <w:ind w:left="20"/>
        <w:spacing w:after="0" w:line="24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directly owned by Mr. Gendell or representing Mr. Gendell's pro rata interest in, and interest in the profits of, TCM, TCP, TM, TCP 2, TAA, TA and TCO. TCM disclaims beneficial ownership of the Issuer's securities reported herein for purposes of Section 16(a) under the Securities Exchange Act of 1934, as amended, or otherwise, except as to securities directly owned by TCM or representing TCM's pro rata interest in, and interest in the profits of, TCP.</w:t>
      </w:r>
    </w:p>
    <w:p>
      <w:pPr>
        <w:spacing w:after="0" w:line="26" w:lineRule="exact"/>
        <w:rPr>
          <w:rFonts w:ascii="Times New Roman" w:cs="Times New Roman" w:eastAsia="Times New Roman" w:hAnsi="Times New Roman"/>
          <w:sz w:val="13"/>
          <w:szCs w:val="13"/>
          <w:color w:val="008000"/>
        </w:rPr>
      </w:pPr>
    </w:p>
    <w:p>
      <w:pPr>
        <w:ind w:left="20" w:right="4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TAA disclaims beneficial ownership of the Issuer's securities reported herein for purposes of Section 16(a) under the Securities Exchange Act of 1934, as amended, or otherwise, except as to securities directly owned by TAA or representing TAA's pro rata interest in, and interest in the profits of, TCP 2. TA disclaims beneficial ownership of the Issuer's securities reported herein for purposes of Section 16(a) under the Securities Exchange Act of 1934, as amended, or otherwise, except as to securities directly owned by TA. TM disclaims beneficial ownership of the Issuer's securities reported herein for purposes of Section 16(a) under the Securities Exchange Act of 1934, as amended, or otherwise, except as to securities directly owned by TM. TCO disclaims beneficial ownership of the Issuer's securities reported herein for purposes of Section 16(a) under the Securities Exchange Act of 1934, as amended, or otherwise, except as to securities directly owned by TCO.</w:t>
      </w:r>
    </w:p>
    <w:p>
      <w:pPr>
        <w:spacing w:after="0" w:line="26"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reported as sold in this Form 4 were shares directly held by Mr. Gendell. The price reported in Column 4 is a weighted average price. These shares were sold in multiple transactions at prices ranging from $671.17 to $672.01, inclusive. The reporting person undertakes to provide IES Holdings, Inc.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$672.27 to $673.13,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$673.47 to $674.41,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$674.57 to $675.14,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$677.14 to $677.17,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300" w:firstLine="7"/>
        <w:spacing w:after="0" w:line="272"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each at a price of $678.29. The reporting person undertakes to provide to the Issuer, any security holder of the Issuer, or the staff of the SEC, upon request, full information regarding the number of shares sold in each separate transaction described in this footnote.</w:t>
      </w:r>
    </w:p>
    <w:p>
      <w:pPr>
        <w:spacing w:after="0" w:line="7"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$681.26 to $682.20,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$682.37 to $683.17,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$686.41 to $686.81,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$672.43 to $673.16,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$674.53 to $675.17, inclusive. The reporting person undertakes to provide the Issuer, any security holder of the Issuer, or the staff of the SEC, upon request, full information regarding the number of shares sold at each separate price within the range set forth in this footnote.</w:t>
      </w:r>
    </w:p>
    <w:p>
      <w:pPr>
        <w:sectPr>
          <w:pgSz w:w="11900" w:h="16838" w:orient="portrait"/>
          <w:cols w:equalWidth="0" w:num="1">
            <w:col w:w="10860"/>
          </w:cols>
          <w:pgMar w:left="480" w:top="111" w:right="559" w:bottom="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60"/>
          </w:cols>
          <w:pgMar w:left="480" w:top="111" w:right="55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Tontine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1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4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Tontine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By: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93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93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8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its Managing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82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1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Capital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10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Master Fund II, L.P., By: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Tontine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L.L.C., By: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15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0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Asset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15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93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5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its Managing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82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13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Capital Overseas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34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93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28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680" w:space="6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23"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13" Type="http://schemas.openxmlformats.org/officeDocument/2006/relationships/hyperlink" Target="http://www.sec.gov/cgi-bin/browse-edgar?action=getcompany&amp;CIK=0000948904" TargetMode="External"/><Relationship Id="rId14" Type="http://schemas.openxmlformats.org/officeDocument/2006/relationships/hyperlink" Target="http://www.sec.gov/cgi-bin/browse-edgar?action=getcompany&amp;CIK=0001048268" TargetMode="External"/><Relationship Id="rId18" Type="http://schemas.openxmlformats.org/officeDocument/2006/relationships/hyperlink" Target="http://www.sec.gov/cgi-bin/browse-edgar?action=getcompany&amp;CIK=0001482609" TargetMode="External"/><Relationship Id="rId19" Type="http://schemas.openxmlformats.org/officeDocument/2006/relationships/hyperlink" Target="http://www.sec.gov/cgi-bin/browse-edgar?action=getcompany&amp;CIK=0001272374" TargetMode="External"/><Relationship Id="rId20" Type="http://schemas.openxmlformats.org/officeDocument/2006/relationships/hyperlink" Target="http://www.sec.gov/cgi-bin/browse-edgar?action=getcompany&amp;CIK=0001482608" TargetMode="External"/><Relationship Id="rId21" Type="http://schemas.openxmlformats.org/officeDocument/2006/relationships/hyperlink" Target="http://www.sec.gov/cgi-bin/browse-edgar?action=getcompany&amp;CIK=0001276922" TargetMode="External"/><Relationship Id="rId22" Type="http://schemas.openxmlformats.org/officeDocument/2006/relationships/hyperlink" Target="http://www.sec.gov/cgi-bin/browse-edgar?action=getcompany&amp;CIK=0001268959" TargetMode="External"/><Relationship Id="rId24" Type="http://schemas.openxmlformats.org/officeDocument/2006/relationships/hyperlink" Target="http://www.sec.gov/cgi-bin/browse-edgar?action=getcompany&amp;CIK=0001491514" TargetMode="External"/><Relationship Id="rId25" Type="http://schemas.openxmlformats.org/officeDocument/2006/relationships/hyperlink" Target="http://www.sec.gov/cgi-bin/browse-edgar?action=getcompany&amp;CIK=000140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2026-05-08T16:29:09Z</dcterms:created>
  <dcterms:modified xsi:type="dcterms:W3CDTF">2026-05-08T16:29:09Z</dcterms:modified>
</cp:coreProperties>
</file>