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June 30, 2024</w:t>
      </w:r>
    </w:p>
    <w:p>
      <w:pPr>
        <w:spacing w:after="0" w:line="13"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50" w:lineRule="exact"/>
        <w:rPr>
          <w:sz w:val="24"/>
          <w:szCs w:val="24"/>
          <w:color w:val="auto"/>
        </w:rPr>
      </w:pPr>
    </w:p>
    <w:p>
      <w:pPr>
        <w:ind w:right="480"/>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4" w:lineRule="exact"/>
        <w:rPr>
          <w:sz w:val="24"/>
          <w:szCs w:val="24"/>
          <w:color w:val="auto"/>
        </w:rPr>
      </w:pPr>
    </w:p>
    <w:p>
      <w:pPr>
        <w:ind w:right="31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July 31, 2024, there were 19,978,209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0"/>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June 30, 2024 and September 30,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Nine Months Ended June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 June 30, 2024 and 2023</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June 30, 2024 and 2023</w:t>
            </w:r>
          </w:p>
        </w:tc>
        <w:tc>
          <w:tcPr>
            <w:tcW w:w="1380" w:type="dxa"/>
            <w:vAlign w:val="bottom"/>
            <w:tcBorders>
              <w:top w:val="single" w:sz="8" w:color="0000FF"/>
              <w:bottom w:val="single" w:sz="8" w:color="0000FF"/>
            </w:tcBorders>
          </w:tcPr>
          <w:p>
            <w:pPr>
              <w:spacing w:after="0"/>
              <w:rPr>
                <w:sz w:val="18"/>
                <w:szCs w:val="18"/>
                <w:color w:val="auto"/>
              </w:rPr>
            </w:pPr>
          </w:p>
        </w:tc>
        <w:tc>
          <w:tcPr>
            <w:tcW w:w="74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520" w:type="dxa"/>
            <w:vAlign w:val="bottom"/>
            <w:gridSpan w:val="12"/>
          </w:tcPr>
          <w:p>
            <w:pPr>
              <w:jc w:val="right"/>
              <w:ind w:right="1060"/>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29" w:lineRule="exact"/>
        <w:rPr>
          <w:rFonts w:ascii="Times New Roman" w:cs="Times New Roman" w:eastAsia="Times New Roman" w:hAnsi="Times New Roman"/>
          <w:sz w:val="17"/>
          <w:szCs w:val="17"/>
          <w:color w:val="auto"/>
        </w:rPr>
      </w:pPr>
    </w:p>
    <w:p>
      <w:pPr>
        <w:ind w:left="620" w:right="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the ongoing Ukraine and Israel conflicts, trade tensions between the U.S. and China,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jc w:val="both"/>
        <w:ind w:left="620" w:right="34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184" w:lineRule="exact"/>
        <w:rPr>
          <w:rFonts w:ascii="Times New Roman" w:cs="Times New Roman" w:eastAsia="Times New Roman" w:hAnsi="Times New Roman"/>
          <w:sz w:val="17"/>
          <w:szCs w:val="17"/>
          <w:color w:val="auto"/>
        </w:rPr>
      </w:pPr>
    </w:p>
    <w:p>
      <w:pPr>
        <w:ind w:left="620" w:right="2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at acceptable rates, which could lead to project delays or cancellations;</w:t>
      </w:r>
    </w:p>
    <w:p>
      <w:pPr>
        <w:spacing w:after="0" w:line="190"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ind w:left="307" w:right="1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pacing w:after="0" w:line="177" w:lineRule="exact"/>
        <w:rPr>
          <w:rFonts w:ascii="Times New Roman" w:cs="Times New Roman" w:eastAsia="Times New Roman" w:hAnsi="Times New Roman"/>
          <w:sz w:val="17"/>
          <w:szCs w:val="17"/>
          <w:color w:val="auto"/>
        </w:rPr>
      </w:pPr>
    </w:p>
    <w:p>
      <w:pPr>
        <w:ind w:left="307" w:right="8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2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laws and regulations related to the environment and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value of certain tax benefits may be reduced by a decrease in the federal tax rate;</w:t>
      </w:r>
    </w:p>
    <w:p>
      <w:pPr>
        <w:spacing w:after="0" w:line="242" w:lineRule="exact"/>
        <w:rPr>
          <w:rFonts w:ascii="Times New Roman" w:cs="Times New Roman" w:eastAsia="Times New Roman" w:hAnsi="Times New Roman"/>
          <w:sz w:val="17"/>
          <w:szCs w:val="17"/>
          <w:color w:val="auto"/>
        </w:rPr>
      </w:pPr>
    </w:p>
    <w:p>
      <w:pPr>
        <w:ind w:left="307" w:right="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3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may make it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right="4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resulting from our designation of the Court of Chancery of the State of Delaware as the sole and exclusive forum for certain types of actions and proceedings;</w:t>
      </w:r>
    </w:p>
    <w:p>
      <w:pPr>
        <w:sectPr>
          <w:pgSz w:w="11900" w:h="16838" w:orient="portrait"/>
          <w:cols w:equalWidth="0" w:num="1">
            <w:col w:w="10927"/>
          </w:cols>
          <w:pgMar w:left="633"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77470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432" w:right="339" w:bottom="1440" w:gutter="0" w:footer="0" w:header="0"/>
          <w:type w:val="continuous"/>
        </w:sectPr>
      </w:pPr>
    </w:p>
    <w:bookmarkStart w:id="4" w:name="page5"/>
    <w:bookmarkEnd w:id="4"/>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2023,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June 30,</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Trade, net of allowance of $1,628 and $1,649,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76,934</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95,655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671,296</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20,383</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16,147</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1,155,336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296,797</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103,771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42,098</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tax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548,895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481,664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issued and 20,085,953 and 20,194,218 outstanding,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Treasury stock, at cost, 1,963,576 and 1,855,311 shares,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(49,450)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203,431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435,693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295,784</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color w:val="auto"/>
              </w:rPr>
              <w:t>Three Months Ended June 30,</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584,451</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573,634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476,842</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107,609</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74,300</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90,176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34,319</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34,117</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25,854</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(3,308)</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20,224,102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20,181,793</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20,496,870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20,405,702</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2,108,592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1,728,206</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1,598,394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1,424,233</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303,973</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211,417</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(14,242)</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225,880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106,590</w:t>
            </w:r>
          </w:p>
        </w:tc>
      </w:tr>
      <w:tr>
        <w:trPr>
          <w:trHeight w:val="19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105,228</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26,448</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167,027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78,780</w:t>
            </w:r>
          </w:p>
        </w:tc>
      </w:tr>
      <w:tr>
        <w:trPr>
          <w:trHeight w:val="212"/>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(8,281)</w:t>
            </w: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20,216,981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20,198,474</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20,462,856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20,404,335</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9"/>
          </w:tcPr>
          <w:p>
            <w:pPr>
              <w:jc w:val="right"/>
              <w:ind w:right="11"/>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gridSpan w:val="10"/>
          </w:tcPr>
          <w:p>
            <w:pPr>
              <w:jc w:val="center"/>
              <w:spacing w:after="0"/>
              <w:rPr>
                <w:sz w:val="20"/>
                <w:szCs w:val="20"/>
                <w:color w:val="auto"/>
              </w:rPr>
            </w:pPr>
            <w:r>
              <w:rPr>
                <w:rFonts w:ascii="Times New Roman" w:cs="Times New Roman" w:eastAsia="Times New Roman" w:hAnsi="Times New Roman"/>
                <w:sz w:val="14"/>
                <w:szCs w:val="14"/>
                <w:color w:val="auto"/>
                <w:w w:val="98"/>
              </w:rPr>
              <w:t>Treasury Stock</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 Paid-In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Capital</w:t>
            </w:r>
          </w:p>
        </w:tc>
        <w:tc>
          <w:tcPr>
            <w:tcW w:w="122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30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March 31, 2024</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(1,806,071)</w:t>
            </w: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380,926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534,806</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 xml:space="preserve">ties </w:t>
            </w:r>
            <w:r>
              <w:rPr>
                <w:rFonts w:ascii="Times New Roman" w:cs="Times New Roman" w:eastAsia="Times New Roman" w:hAnsi="Times New Roman"/>
                <w:sz w:val="13"/>
                <w:szCs w:val="13"/>
                <w:color w:val="auto"/>
              </w:rPr>
              <w:t>Issuances under compensation plans</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3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(21,102)</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Non-cash compensation</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300" w:type="dxa"/>
            <w:vAlign w:val="bottom"/>
            <w:gridSpan w:val="4"/>
            <w:shd w:val="clear" w:color="auto" w:fill="CCEEFF"/>
          </w:tcPr>
          <w:p>
            <w:pPr>
              <w:ind w:left="360"/>
              <w:spacing w:after="0" w:line="137" w:lineRule="exact"/>
              <w:rPr>
                <w:sz w:val="20"/>
                <w:szCs w:val="20"/>
                <w:color w:val="auto"/>
              </w:rPr>
            </w:pPr>
            <w:r>
              <w:rPr>
                <w:rFonts w:ascii="Times New Roman" w:cs="Times New Roman" w:eastAsia="Times New Roman" w:hAnsi="Times New Roman"/>
                <w:sz w:val="14"/>
                <w:szCs w:val="14"/>
                <w:color w:val="auto"/>
                <w:w w:val="99"/>
              </w:rPr>
              <w:t>Change in IES Holdings, Inc.'s ownership interest in</w:t>
            </w:r>
          </w:p>
        </w:tc>
        <w:tc>
          <w:tcPr>
            <w:tcW w:w="9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gridSpan w:val="6"/>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(2,356)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4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3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92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gridSpan w:val="6"/>
            <w:vMerge w:val="continue"/>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4"/>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3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62,100</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BALANCE, June 30, 2024</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(1,963,576)</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(71,530)</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203,139</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435,693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9"/>
          </w:tcPr>
          <w:p>
            <w:pPr>
              <w:jc w:val="right"/>
              <w:ind w:right="91"/>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gridSpan w:val="10"/>
          </w:tcPr>
          <w:p>
            <w:pPr>
              <w:ind w:left="6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9"/>
                <w:szCs w:val="19"/>
                <w:color w:val="auto"/>
              </w:rPr>
            </w:pPr>
          </w:p>
        </w:tc>
        <w:tc>
          <w:tcPr>
            <w:tcW w:w="12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Additional Paid -In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1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8"/>
              </w:rPr>
              <w:t>Capital</w:t>
            </w:r>
          </w:p>
        </w:tc>
        <w:tc>
          <w:tcPr>
            <w:tcW w:w="122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6"/>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March 31, 2023</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gridSpan w:val="4"/>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(1,878,008)</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tcBorders>
            <w:gridSpan w:val="3"/>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201,958</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245,324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Non-cash compensation</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100" w:type="dxa"/>
            <w:vAlign w:val="bottom"/>
            <w:tcBorders>
              <w:bottom w:val="single" w:sz="8" w:color="auto"/>
            </w:tcBorders>
            <w:gridSpan w:val="3"/>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3"/>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June 30,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(1,857,950)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280" w:type="dxa"/>
            <w:vAlign w:val="bottom"/>
            <w:gridSpan w:val="3"/>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Nine Months Ended June 30, 2024</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9"/>
          </w:tcPr>
          <w:p>
            <w:pPr>
              <w:jc w:val="right"/>
              <w:ind w:right="91"/>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gridSpan w:val="10"/>
          </w:tcPr>
          <w:p>
            <w:pPr>
              <w:ind w:left="6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9"/>
                <w:szCs w:val="19"/>
                <w:color w:val="auto"/>
              </w:rPr>
            </w:pPr>
          </w:p>
        </w:tc>
        <w:tc>
          <w:tcPr>
            <w:tcW w:w="12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Additional Paid -In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1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8"/>
              </w:rPr>
              <w:t>Capital</w:t>
            </w:r>
          </w:p>
        </w:tc>
        <w:tc>
          <w:tcPr>
            <w:tcW w:w="122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440" w:type="dxa"/>
            <w:vAlign w:val="bottom"/>
            <w:tcBorders>
              <w:top w:val="single" w:sz="8" w:color="auto"/>
            </w:tcBorders>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(1,855,311)</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tcBorders>
            <w:gridSpan w:val="3"/>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(49,450)</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203,431</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449,985</w:t>
            </w:r>
          </w:p>
        </w:tc>
        <w:tc>
          <w:tcPr>
            <w:tcW w:w="40" w:type="dxa"/>
            <w:vAlign w:val="bottom"/>
            <w:tcBorders>
              <w:top w:val="single" w:sz="8" w:color="auto"/>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82,180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(191,445)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(24,320)</w:t>
            </w: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Options exercised</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compensation</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300" w:type="dxa"/>
            <w:vAlign w:val="bottom"/>
            <w:gridSpan w:val="4"/>
          </w:tcPr>
          <w:p>
            <w:pPr>
              <w:ind w:left="160"/>
              <w:spacing w:after="0" w:line="135" w:lineRule="exact"/>
              <w:rPr>
                <w:sz w:val="20"/>
                <w:szCs w:val="20"/>
                <w:color w:val="auto"/>
              </w:rPr>
            </w:pPr>
            <w:r>
              <w:rPr>
                <w:rFonts w:ascii="Times New Roman" w:cs="Times New Roman" w:eastAsia="Times New Roman" w:hAnsi="Times New Roman"/>
                <w:sz w:val="14"/>
                <w:szCs w:val="14"/>
                <w:color w:val="auto"/>
              </w:rPr>
              <w:t>Change in IES Holdings, Inc.'s ownership interest in</w:t>
            </w:r>
          </w:p>
        </w:tc>
        <w:tc>
          <w:tcPr>
            <w:tcW w:w="9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gridSpan w:val="6"/>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8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3"/>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155,965</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155,965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80" w:type="dxa"/>
            <w:vAlign w:val="bottom"/>
            <w:tcBorders>
              <w:bottom w:val="single" w:sz="8" w:color="auto"/>
            </w:tcBorders>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(1,963,576)</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203,139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435,693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567,522</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3"/>
          </w:tcPr>
          <w:p>
            <w:pPr>
              <w:ind w:left="20"/>
              <w:spacing w:after="0"/>
              <w:rPr>
                <w:sz w:val="20"/>
                <w:szCs w:val="20"/>
                <w:color w:val="auto"/>
              </w:rPr>
            </w:pPr>
            <w:r>
              <w:rPr>
                <w:rFonts w:ascii="Times New Roman" w:cs="Times New Roman" w:eastAsia="Times New Roman" w:hAnsi="Times New Roman"/>
                <w:sz w:val="14"/>
                <w:szCs w:val="14"/>
                <w:color w:val="auto"/>
              </w:rPr>
              <w:t>Nine Months Ended June 30, 2023</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9"/>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10"/>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9"/>
          </w:tcPr>
          <w:p>
            <w:pPr>
              <w:jc w:val="right"/>
              <w:ind w:right="51"/>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gridSpan w:val="10"/>
          </w:tcPr>
          <w:p>
            <w:pPr>
              <w:ind w:left="62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9"/>
                <w:szCs w:val="19"/>
                <w:color w:val="auto"/>
              </w:rPr>
            </w:pPr>
          </w:p>
        </w:tc>
        <w:tc>
          <w:tcPr>
            <w:tcW w:w="12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Additional Paid -In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1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8"/>
              </w:rPr>
              <w:t>Capital</w:t>
            </w:r>
          </w:p>
        </w:tc>
        <w:tc>
          <w:tcPr>
            <w:tcW w:w="122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6"/>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24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420" w:type="dxa"/>
            <w:vAlign w:val="bottom"/>
            <w:tcBorders>
              <w:top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(1,707,629)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201,871</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103,053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(255,374)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Options exercised</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BALANCE, June 30,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42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(1,857,950)</w:t>
            </w:r>
          </w:p>
        </w:tc>
        <w:tc>
          <w:tcPr>
            <w:tcW w:w="20" w:type="dxa"/>
            <w:vAlign w:val="bottom"/>
          </w:tcPr>
          <w:p>
            <w:pPr>
              <w:spacing w:after="0"/>
              <w:rPr>
                <w:sz w:val="16"/>
                <w:szCs w:val="16"/>
                <w:color w:val="auto"/>
              </w:rPr>
            </w:pPr>
          </w:p>
        </w:tc>
        <w:tc>
          <w:tcPr>
            <w:tcW w:w="120" w:type="dxa"/>
            <w:vAlign w:val="bottom"/>
            <w:gridSpan w:val="3"/>
          </w:tcPr>
          <w:p>
            <w:pPr>
              <w:spacing w:after="0"/>
              <w:rPr>
                <w:sz w:val="16"/>
                <w:szCs w:val="16"/>
                <w:color w:val="auto"/>
              </w:rPr>
            </w:pPr>
          </w:p>
        </w:tc>
        <w:tc>
          <w:tcPr>
            <w:tcW w:w="2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622"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43"/>
              <w:spacing w:after="0"/>
              <w:rPr>
                <w:sz w:val="20"/>
                <w:szCs w:val="20"/>
                <w:color w:val="auto"/>
              </w:rPr>
            </w:pPr>
            <w:r>
              <w:rPr>
                <w:rFonts w:ascii="Times New Roman" w:cs="Times New Roman" w:eastAsia="Times New Roman" w:hAnsi="Times New Roman"/>
                <w:sz w:val="15"/>
                <w:szCs w:val="15"/>
                <w:color w:val="auto"/>
              </w:rPr>
              <w:t>Nine Months Ended June 30,</w:t>
            </w:r>
          </w:p>
        </w:tc>
      </w:tr>
      <w:tr>
        <w:trPr>
          <w:trHeight w:val="199"/>
        </w:trPr>
        <w:tc>
          <w:tcPr>
            <w:tcW w:w="7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color w:val="auto"/>
              </w:rPr>
              <w:t>2024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color w:val="auto"/>
              </w:rPr>
              <w:t>2023</w:t>
            </w:r>
          </w:p>
        </w:tc>
      </w:tr>
      <w:tr>
        <w:trPr>
          <w:trHeight w:val="18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167,027</w:t>
            </w:r>
          </w:p>
        </w:tc>
        <w:tc>
          <w:tcPr>
            <w:tcW w:w="14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78,780</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Bad debt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Deferred financing cost amortization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20,130</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Gain on sale of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(14,242)</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Non-cash compensation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3,256</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9,352</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Unrealized loss on trading securities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Accounts receivable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(80,266)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25,390</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Inventories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(8,081)</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Costs and estimated earnings in excess of billings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7,607</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(7,990)</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Other non-current assets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2,027</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31,299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(44,848)</w:t>
            </w:r>
          </w:p>
        </w:tc>
      </w:tr>
      <w:tr>
        <w:trPr>
          <w:trHeight w:val="203"/>
        </w:trPr>
        <w:tc>
          <w:tcPr>
            <w:tcW w:w="79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Billings in excess of costs and estimated earnings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34,790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24,399</w:t>
            </w:r>
          </w:p>
        </w:tc>
      </w:tr>
      <w:tr>
        <w:trPr>
          <w:trHeight w:val="20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19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141,621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96,622</w:t>
            </w:r>
          </w:p>
        </w:tc>
      </w:tr>
      <w:tr>
        <w:trPr>
          <w:trHeight w:val="18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(30,891)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(11,286)</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20,433</w:t>
            </w: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Cash paid in conjunction with equity investments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paid in conjunction with business combinations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(67,698)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(96,397)</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8,982</w:t>
            </w:r>
          </w:p>
        </w:tc>
      </w:tr>
      <w:tr>
        <w:trPr>
          <w:trHeight w:val="18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Borrowings of debt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2,089,870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1,758,982</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Repayments of debt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(2,089,870)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(1,841,641)</w:t>
            </w: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Cash paid for finance leases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(2,552)</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Settlement of contingent consideration liability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 of noncontrolling interest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Distribution to noncontrolling interest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(8,484)</w:t>
            </w: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(8,213)</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Options exercised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(76,097)</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(101,894)</w:t>
            </w:r>
          </w:p>
        </w:tc>
      </w:tr>
      <w:tr>
        <w:trPr>
          <w:trHeight w:val="20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(30,873)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3,710</w:t>
            </w:r>
          </w:p>
        </w:tc>
      </w:tr>
      <w:tr>
        <w:trPr>
          <w:trHeight w:val="20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75,770</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24,848</w:t>
            </w:r>
          </w:p>
        </w:tc>
      </w:tr>
      <w:tr>
        <w:trPr>
          <w:trHeight w:val="22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44,897</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28,558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Cash paid for interest</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4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1,932</w:t>
            </w:r>
          </w:p>
        </w:tc>
      </w:tr>
      <w:tr>
        <w:trPr>
          <w:trHeight w:val="20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paid for income taxes, net</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57,790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8,257</w:t>
            </w:r>
          </w:p>
        </w:tc>
      </w:tr>
      <w:tr>
        <w:trPr>
          <w:trHeight w:val="155"/>
        </w:trPr>
        <w:tc>
          <w:tcPr>
            <w:tcW w:w="7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7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Contingent consideration liability assumed in conjunction with business combinations</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2,790</w:t>
            </w:r>
          </w:p>
        </w:tc>
        <w:tc>
          <w:tcPr>
            <w:tcW w:w="14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2023.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In each case, the purchase price is variable, based on a multiple of earnings as defined in the applicable operating agreement. Therefore, each noncontrolling interest is carried at the greater of the balance determined under Accounting Standards Codification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(“ASC”) 810 and the redemption amounts assuming the noncontrolling interest was redeemable at the balance sheet date. On June 28, 2024, we acquired the 20 percent noncontrolling interest in Bayonet for $31,200. If all of the noncontrolling interests remaining outstanding at June 30, 2024 had been redeemable at that date, the aggregate redemption amount would have been $38,919.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impacts how we account for business combinations completed after its adoption.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 and Disclosure Rules Not Yet Adopted</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 financial condition, results of operations, or cash flows.</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are evaluating the impact this update will have on our annual disclosures; however, it will not impact our financial condition, results of operations, or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50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56 percent of the Company’s outstanding common stock based on Amendment No. 30 to the Schedule 13D filed by Tontine with the SEC on June 13, 2024 and the Company's shares outstanding as of July 31, 2024.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right="260"/>
        <w:spacing w:after="0" w:line="287" w:lineRule="auto"/>
        <w:rPr>
          <w:sz w:val="20"/>
          <w:szCs w:val="20"/>
          <w:color w:val="auto"/>
        </w:rPr>
      </w:pPr>
      <w:r>
        <w:rPr>
          <w:rFonts w:ascii="Times New Roman" w:cs="Times New Roman" w:eastAsia="Times New Roman" w:hAnsi="Times New Roman"/>
          <w:sz w:val="17"/>
          <w:szCs w:val="17"/>
          <w:color w:val="auto"/>
        </w:rPr>
        <w:t>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177"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with monthly payments due in the amount of approximately $9. On August 1, 2024, the Company entered into an amendment of the sublease agreement, which was set to terminate on August 31, 2024, to extend the term of the agreement through September 30, 2025 effective September 1, 2024.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Power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Certain divisions in the Residential and Infrastructure Solutions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2024 and 2023 was derived from the following activities. Certain prior period amounts have been reclassified to conform with the current period presentation, where applicable. See details in the following tables:</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27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192,303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429,980</w:t>
            </w:r>
          </w:p>
        </w:tc>
      </w:tr>
      <w:tr>
        <w:trPr>
          <w:trHeight w:val="219"/>
        </w:trPr>
        <w:tc>
          <w:tcPr>
            <w:tcW w:w="2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Residential</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Single-family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285,211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711,724</w:t>
            </w:r>
          </w:p>
        </w:tc>
      </w:tr>
      <w:tr>
        <w:trPr>
          <w:trHeight w:val="219"/>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Multi-family and 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92,325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248,694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230,477</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Residential</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377,536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942,201</w:t>
            </w:r>
          </w:p>
        </w:tc>
      </w:tr>
      <w:tr>
        <w:trPr>
          <w:trHeight w:val="219"/>
        </w:trPr>
        <w:tc>
          <w:tcPr>
            <w:tcW w:w="2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Industrial Services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34,960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33,828</w:t>
            </w:r>
          </w:p>
        </w:tc>
      </w:tr>
      <w:tr>
        <w:trPr>
          <w:trHeight w:val="219"/>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Custom Power Solutions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90,236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205,739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125,129</w:t>
            </w:r>
          </w:p>
        </w:tc>
      </w:tr>
      <w:tr>
        <w:trPr>
          <w:trHeight w:val="212"/>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102,022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240,699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158,957</w:t>
            </w:r>
          </w:p>
        </w:tc>
      </w:tr>
      <w:tr>
        <w:trPr>
          <w:trHeight w:val="219"/>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96,554</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278,575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197,068</w:t>
            </w: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768,415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2,108,592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1,728,206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Three Months Ended June 30, 2024</w:t>
            </w: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r>
      <w:tr>
        <w:trPr>
          <w:trHeight w:val="160"/>
        </w:trPr>
        <w:tc>
          <w:tcPr>
            <w:tcW w:w="5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2"/>
        </w:trPr>
        <w:tc>
          <w:tcPr>
            <w:tcW w:w="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131,536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93,138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75,540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677,750</w:t>
            </w: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90,665</w:t>
            </w:r>
          </w:p>
        </w:tc>
        <w:tc>
          <w:tcPr>
            <w:tcW w:w="50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377,536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768,415</w:t>
            </w: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0"/>
        </w:trPr>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Three Months Ended June 30, 2023</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60"/>
        </w:trPr>
        <w:tc>
          <w:tcPr>
            <w:tcW w:w="5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2"/>
        </w:trPr>
        <w:tc>
          <w:tcPr>
            <w:tcW w:w="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98,027</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318,011</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55,409</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56,859</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528,306</w:t>
            </w: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56,145</w:t>
            </w:r>
          </w:p>
        </w:tc>
        <w:tc>
          <w:tcPr>
            <w:tcW w:w="50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584,451</w:t>
            </w: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797"/>
        </w:trPr>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8"/>
        </w:trPr>
        <w:tc>
          <w:tcPr>
            <w:tcW w:w="50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4" w:name="page15"/>
    <w:bookmarkEnd w:id="14"/>
    <w:tbl>
      <w:tblPr>
        <w:tblLayout w:type="fixed"/>
        <w:tblInd w:w="600" w:type="dxa"/>
        <w:tblCellMar>
          <w:top w:w="0" w:type="dxa"/>
          <w:left w:w="0" w:type="dxa"/>
          <w:bottom w:w="0" w:type="dxa"/>
          <w:right w:w="0" w:type="dxa"/>
        </w:tblCellMar>
      </w:tblPr>
      <w:tr>
        <w:trPr>
          <w:trHeight w:val="223"/>
        </w:trPr>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Nine Months Ended June 30, 2024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6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2"/>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397,903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1,032,764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232,422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1,890,650</w:t>
            </w: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158,651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217,942</w:t>
            </w:r>
          </w:p>
        </w:tc>
      </w:tr>
      <w:tr>
        <w:trPr>
          <w:trHeight w:val="237"/>
        </w:trPr>
        <w:tc>
          <w:tcPr>
            <w:tcW w:w="25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556,554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1,032,764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2,108,592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Nine Months Ended June 30, 2023</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2"/>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Solutions</w:t>
            </w:r>
          </w:p>
        </w:tc>
        <w:tc>
          <w:tcPr>
            <w:tcW w:w="1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277,693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942,201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168,669</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1,542,469</w:t>
            </w:r>
          </w:p>
        </w:tc>
      </w:tr>
      <w:tr>
        <w:trPr>
          <w:trHeight w:val="219"/>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152,287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28,399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185,737</w:t>
            </w:r>
          </w:p>
        </w:tc>
      </w:tr>
      <w:tr>
        <w:trPr>
          <w:trHeight w:val="232"/>
        </w:trPr>
        <w:tc>
          <w:tcPr>
            <w:tcW w:w="25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429,980</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942,201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197,068</w:t>
            </w: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1,728,206</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June 30, 2024, Accounts receivable included $13,677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spacing w:after="0" w:line="20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During the nine months ended June 30, 2024 and 2023, we recognized revenue of $96,889 and $78,263 related to our contract liabilities at October 1, 2023 and 2022,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2024, we had remaining performance obligations of $1,177,184. The Company expects to recognize revenue on approximately $1,002,742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nine months ended June 30, 2024,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2023. As of June 30, 2024, the Company was in compliance with the financial covenants under the Amended Credit Agreement.</w:t>
      </w:r>
    </w:p>
    <w:p>
      <w:pPr>
        <w:spacing w:after="0" w:line="19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At June 30, 2024 and September 30, 2023, we had no outstanding borrowings under our revolving credit facility. At June 30, 2024, we had $5,606 in outstanding letters of credit and total availability of $143,049 under our revolving credit facility without triggering the financial covenants under the Amended Credit Agreement.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8"/>
        </w:trPr>
        <w:tc>
          <w:tcPr>
            <w:tcW w:w="102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per share for the three and nine months ended June 30, 2024 and 2023: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800" w:type="dxa"/>
            <w:vAlign w:val="bottom"/>
          </w:tcPr>
          <w:p>
            <w:pPr>
              <w:spacing w:after="0"/>
              <w:rPr>
                <w:sz w:val="21"/>
                <w:szCs w:val="21"/>
                <w:color w:val="auto"/>
              </w:rPr>
            </w:pP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68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70,499</w:t>
            </w: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(11,742)</w:t>
            </w: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7"/>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20,224,102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20,181,793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20,216,981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20,198,474</w:t>
            </w: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205,861</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20,496,870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20,405,702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20,462,856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20,404,335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19"/>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58"/>
        </w:trPr>
        <w:tc>
          <w:tcPr>
            <w:tcW w:w="6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68"/>
        </w:trPr>
        <w:tc>
          <w:tcPr>
            <w:tcW w:w="6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Potentially dilutive securities excluded from the computation of diluted earnings per share as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their inclusion would have been anti-dilutive: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Employee PSUs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2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June 30, 2024 and 2023, the average price of our common shares exceeded the exercise price of all of our outstanding stock options. As a result, all of our outstanding stock options were included in the computation of diluted earnings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26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CODM reviews operating results for the purpose of allocating resources and assessing performance. The Company’s CODM is its Chief Executive Officer.</w:t>
      </w:r>
    </w:p>
    <w:p>
      <w:pPr>
        <w:spacing w:after="0" w:line="1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Segment information for the three and nine months ended June 30, 2024 and 2023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Three Months Ended June 30, 2024</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192,303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377,536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96,554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768,415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155,184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272,224</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71,366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74,860</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573,634</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37,119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30,656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21,694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194,781</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16,122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61,662</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104,694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21,004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90,176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10,613</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6,319</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262,677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400,539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289,619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104,760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1,155,336</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Three Months Ended June 30,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141,615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318,011</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67,768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584,451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114,440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260,679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42,851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58,872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476,842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27,175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57,332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107,609</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13,680</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7,066</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74,300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15,379</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(5,331)</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261</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182,117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381,840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72,307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899,728</w:t>
            </w:r>
          </w:p>
        </w:tc>
        <w:tc>
          <w:tcPr>
            <w:tcW w:w="0" w:type="dxa"/>
            <w:vAlign w:val="bottom"/>
          </w:tcPr>
          <w:p>
            <w:pPr>
              <w:spacing w:after="0"/>
              <w:rPr>
                <w:sz w:val="1"/>
                <w:szCs w:val="1"/>
                <w:color w:val="auto"/>
              </w:rPr>
            </w:pPr>
          </w:p>
        </w:tc>
      </w:tr>
      <w:tr>
        <w:trPr>
          <w:trHeight w:val="539"/>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Nine Months Ended June 30,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556,554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1,032,764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278,575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2,108,592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444,225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763,351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168,107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222,711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1,598,394</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112,329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269,413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72,592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55,864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510,198</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48,011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25,798</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24,271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285,816</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(1,576)</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102,507</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31,698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(19,424)</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225,880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26,051</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8,255</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12,067</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30,891</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262,677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400,539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289,619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104,760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5"/>
                <w:szCs w:val="15"/>
                <w:color w:val="auto"/>
              </w:rPr>
              <w:t>Nine Months Ended June 30, 2023</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429,980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942,201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158,957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1,728,206</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355,904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770,419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120,089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177,821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1,424,233</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74,076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171,782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38,868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19,247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303,973</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39,363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118,989</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18,817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18,373</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15,875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211,417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(14,242)</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20,130</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1,383</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2,069</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11,286</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182,117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381,840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179,363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899,728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568,992 shares were available for issuance at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$40,000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234 and 224,013 shares, respectively, of our common stock during the three and nine months ended June 30, 2023 in open market transactions at an average price of $40.00 and $31.06 per share, respectively. We repurchased 157,505 shares of our common stock during the three and nine months ended June 30, 2024 in open market transactions at an average price of $132.92 per share. Subsequent to June 30, 2024, we repurchased an additional 119,041 shares in open market transactions at an average price of $139.84, which fully utilized the amount remaining under the previous $40,000 authorization. On July 31, 2024, the Board authorized a new $200,000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nine months ended June 30, 2024, we issued 82,180 shares of common stock from treasury stock to employees and repurchased 33,940 shares of common stock from our employees to satisfy statutory tax withholding requirements upon the vesting of certain performance phantom stock units under the Equity Incentive Plan. During the nine months ended June 30, 2024, we issued 1,000 unrestricted shares to satisfy the exercise of certain outstanding option awards under the Equity Incentive Plan.</w:t>
      </w:r>
    </w:p>
    <w:p>
      <w:pPr>
        <w:spacing w:after="0" w:line="1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nine months ended June 30, 2023, we issued 103,053 shares of common stock from treasury stock to employees and repurchased 31,095 shares of common stock from our employees to satisfy statutory tax withholding requirements upon the vesting of certain performance phantom stock units under the Equity Incentive Plan. In addition, 266 restricted shares were forfeited and returned to treasury stock. During the nine months ended June 30, 2023, we issued 2,000 unrestricted shares to satisfy the exercise of certain outstanding option awards under the Equity Incentive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As of June 30, 2024, the Company had outstanding Employee PSUs, which, subject to the achievement of certain performance metrics, could result in the issuance of 324,537 shares of common stock. During the nine months ended June 30, 2024, we granted 86,512 Employee PSUs, 5,608 were forfeited, and 82,180 vested.</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three and nine months ended June 30, 2024 and 2023 is provided in the table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Nine Months Ended June 30,</w:t>
            </w:r>
          </w:p>
        </w:tc>
        <w:tc>
          <w:tcPr>
            <w:tcW w:w="520" w:type="dxa"/>
            <w:vAlign w:val="bottom"/>
            <w:tcBorders>
              <w:bottom w:val="single" w:sz="8" w:color="auto"/>
            </w:tcBorders>
          </w:tcPr>
          <w:p>
            <w:pPr>
              <w:spacing w:after="0"/>
              <w:rPr>
                <w:sz w:val="19"/>
                <w:szCs w:val="19"/>
                <w:color w:val="auto"/>
              </w:rPr>
            </w:pPr>
          </w:p>
        </w:tc>
      </w:tr>
      <w:tr>
        <w:trPr>
          <w:trHeight w:val="212"/>
        </w:trPr>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Borders>
              <w:bottom w:val="single" w:sz="8" w:color="auto"/>
            </w:tcBorders>
          </w:tcPr>
          <w:p>
            <w:pPr>
              <w:spacing w:after="0"/>
              <w:rPr>
                <w:sz w:val="18"/>
                <w:szCs w:val="18"/>
                <w:color w:val="auto"/>
              </w:rPr>
            </w:pPr>
          </w:p>
        </w:tc>
      </w:tr>
      <w:tr>
        <w:trPr>
          <w:trHeight w:val="212"/>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Restricted stock awards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4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19"/>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June 30, 2024 and September 30, 2023, financial assets and liabilities measured at fair value on a recurring basis were limited to investments in equity securities and debt securities classified as trading securities,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9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June 30, 2024 and September 30, 2023,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June 30, 2024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38"/>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10,425</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securities classified as trading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12,113</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14,946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right"/>
              <w:ind w:right="274"/>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Investments in equity securities and debt securities, all of which are classified as trading securities and mature after one year and before five years at June 30, 2024, were included in “Prepaid expenses and other current assets” in our Condensed Consolidated Balance Sheets. Gains and losses to measure our investments in equity and debt securities at fair value were included in Other (income) expense, net in our Condensed Consolidated Statements of Comprehensive Income. Our unrealized net gains (losses), which are calculated as total net gains (losses) recognized during the period less net gains (losses) recognized on securities sold during the period, were as follows: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12"/>
        </w:trPr>
        <w:tc>
          <w:tcPr>
            <w:tcW w:w="43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Unrealized loss on equity securities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Unrealized gain (loss) on debt securities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3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unrealized loss on trading securities</w:t>
            </w: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On April 1, 2024, we entered into a contingent consideration arrangement valued at $2,790 in connection with the acquisition of Greiner Industries, Inc. For more information, refer to Note 13, “Business Combinations and Divestitures” in the Notes to our Condensed Consolidated Financial Statements. The contingent consideration obligation related to Bayonet, which was acquired in fiscal year 2021, was settled in cash in December 2023. The table below presents the change in fair value of these obligations, which used significant unobservable inputs (Level 3).</w:t>
      </w:r>
    </w:p>
    <w:p>
      <w:pPr>
        <w:sectPr>
          <w:pgSz w:w="11900" w:h="16838" w:orient="portrait"/>
          <w:cols w:equalWidth="0" w:num="1">
            <w:col w:w="11240"/>
          </w:cols>
          <w:pgMar w:left="320" w:top="47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Fair value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-129540</wp:posOffset>
            </wp:positionV>
            <wp:extent cx="3978275" cy="147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8275" cy="147320"/>
                    </a:xfrm>
                    <a:prstGeom prst="rect">
                      <a:avLst/>
                    </a:prstGeom>
                    <a:noFill/>
                  </pic:spPr>
                </pic:pic>
              </a:graphicData>
            </a:graphic>
          </wp:anchor>
        </w:drawing>
      </w:r>
    </w:p>
    <w:p>
      <w:pPr>
        <w:spacing w:after="0" w:line="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3978275"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275" cy="139065"/>
                    </a:xfrm>
                    <a:prstGeom prst="rect">
                      <a:avLst/>
                    </a:prstGeom>
                    <a:noFill/>
                  </pic:spPr>
                </pic:pic>
              </a:graphicData>
            </a:graphic>
          </wp:anchor>
        </w:drawing>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Net adjustments to fair value</w:t>
      </w:r>
    </w:p>
    <w:p>
      <w:pPr>
        <w:spacing w:after="0" w:line="2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3978275" cy="16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8275" cy="163830"/>
                    </a:xfrm>
                    <a:prstGeom prst="rect">
                      <a:avLst/>
                    </a:prstGeom>
                    <a:noFill/>
                  </pic:spPr>
                </pic:pic>
              </a:graphicData>
            </a:graphic>
          </wp:anchor>
        </w:drawing>
      </w:r>
    </w:p>
    <w:p>
      <w:pPr>
        <w:spacing w:after="0" w:line="38" w:lineRule="exact"/>
        <w:rPr>
          <w:sz w:val="20"/>
          <w:szCs w:val="20"/>
          <w:color w:val="auto"/>
        </w:rPr>
      </w:pPr>
    </w:p>
    <w:p>
      <w:pPr>
        <w:jc w:val="center"/>
        <w:ind w:left="663"/>
        <w:spacing w:after="0"/>
        <w:rPr>
          <w:sz w:val="20"/>
          <w:szCs w:val="20"/>
          <w:color w:val="auto"/>
        </w:rPr>
      </w:pPr>
      <w:r>
        <w:rPr>
          <w:rFonts w:ascii="Times New Roman" w:cs="Times New Roman" w:eastAsia="Times New Roman" w:hAnsi="Times New Roman"/>
          <w:sz w:val="17"/>
          <w:szCs w:val="17"/>
          <w:color w:val="auto"/>
        </w:rPr>
        <w:t>Fair value at June 30,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3"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Agreements</w:t>
      </w:r>
    </w:p>
    <w:p>
      <w:pPr>
        <w:spacing w:after="0" w:line="19" w:lineRule="exact"/>
        <w:rPr>
          <w:sz w:val="20"/>
          <w:szCs w:val="20"/>
          <w:color w:val="auto"/>
        </w:rPr>
      </w:pPr>
    </w:p>
    <w:p>
      <w:pPr>
        <w:ind w:left="1323" w:hanging="1323"/>
        <w:spacing w:after="0"/>
        <w:tabs>
          <w:tab w:leader="none" w:pos="13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(4,465)</w:t>
      </w:r>
    </w:p>
    <w:p>
      <w:pPr>
        <w:spacing w:after="0" w:line="27" w:lineRule="exact"/>
        <w:rPr>
          <w:rFonts w:ascii="Times New Roman" w:cs="Times New Roman" w:eastAsia="Times New Roman" w:hAnsi="Times New Roman"/>
          <w:sz w:val="17"/>
          <w:szCs w:val="17"/>
          <w:color w:val="auto"/>
        </w:rPr>
      </w:pPr>
    </w:p>
    <w:p>
      <w:pPr>
        <w:ind w:left="13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(2,790)</w:t>
      </w:r>
    </w:p>
    <w:p>
      <w:pPr>
        <w:spacing w:after="0" w:line="23" w:lineRule="exact"/>
        <w:rPr>
          <w:rFonts w:ascii="Times New Roman" w:cs="Times New Roman" w:eastAsia="Times New Roman" w:hAnsi="Times New Roman"/>
          <w:sz w:val="17"/>
          <w:szCs w:val="17"/>
          <w:color w:val="auto"/>
        </w:rPr>
      </w:pPr>
    </w:p>
    <w:p>
      <w:pPr>
        <w:ind w:left="15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w:t>
      </w:r>
    </w:p>
    <w:p>
      <w:pPr>
        <w:spacing w:after="0" w:line="23" w:lineRule="exact"/>
        <w:rPr>
          <w:rFonts w:ascii="Times New Roman" w:cs="Times New Roman" w:eastAsia="Times New Roman" w:hAnsi="Times New Roman"/>
          <w:sz w:val="17"/>
          <w:szCs w:val="17"/>
          <w:color w:val="auto"/>
        </w:rPr>
      </w:pPr>
    </w:p>
    <w:p>
      <w:pPr>
        <w:ind w:left="138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4,500</w:t>
      </w:r>
    </w:p>
    <w:p>
      <w:pPr>
        <w:spacing w:after="0" w:line="33" w:lineRule="exact"/>
        <w:rPr>
          <w:sz w:val="20"/>
          <w:szCs w:val="20"/>
          <w:color w:val="auto"/>
        </w:rPr>
      </w:pPr>
    </w:p>
    <w:p>
      <w:pPr>
        <w:ind w:left="1323" w:hanging="1323"/>
        <w:spacing w:after="0"/>
        <w:tabs>
          <w:tab w:leader="none" w:pos="132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11785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197" w:space="720"/>
            <w:col w:w="4323"/>
          </w:cols>
          <w:pgMar w:left="320" w:top="471" w:right="3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INVENTORY</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June 30,</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64,983</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changes in the carrying value of goodwill by segment during the nine months ended June 30,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9"/>
              </w:rPr>
              <w:t>Infrastructure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Commercial &amp;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ind w:left="20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Solutions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Industrial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September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Acquisitions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6"/>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June 30, 2024</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7"/>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7,253</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92,926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41,429</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111,205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(61,697)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color w:val="auto"/>
              </w:rPr>
              <w:t>September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6"/>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48,361</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6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(55,237)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56,208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w:t>
      </w:r>
    </w:p>
    <w:p>
      <w:pPr>
        <w:sectPr>
          <w:pgSz w:w="11900" w:h="16838" w:orient="portrait"/>
          <w:cols w:equalWidth="0" w:num="1">
            <w:col w:w="11240"/>
          </w:cols>
          <w:pgMar w:left="320" w:top="429"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type w:val="continuous"/>
        </w:sectPr>
      </w:pPr>
    </w:p>
    <w:bookmarkStart w:id="21" w:name="page22"/>
    <w:bookmarkEnd w:id="21"/>
    <w:p>
      <w:pPr>
        <w:ind w:right="260"/>
        <w:spacing w:after="0" w:line="261" w:lineRule="auto"/>
        <w:rPr>
          <w:sz w:val="20"/>
          <w:szCs w:val="20"/>
          <w:color w:val="auto"/>
        </w:rPr>
      </w:pPr>
      <w:r>
        <w:rPr>
          <w:rFonts w:ascii="Times New Roman" w:cs="Times New Roman" w:eastAsia="Times New Roman" w:hAnsi="Times New Roman"/>
          <w:sz w:val="17"/>
          <w:szCs w:val="17"/>
          <w:color w:val="auto"/>
        </w:rPr>
        <w:t>policies. Losses are accrued based upon our known claims incurred and an estimate of claims incurred but not reported. As a result, many of our claims are effectively self-insured. Many claims against our insurance are in the form of litigation. At June 30, 2024 and September 30, 2023, we had $11,122 and $7,726,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w:t>
      </w:r>
    </w:p>
    <w:p>
      <w:pPr>
        <w:spacing w:after="0" w:line="2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2024 and September 30, 2023, $5,606 and $4,166, respectively, of our outstanding letters of credit was utilized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As of June 30, 2024, the estimated cost to complete our bonded projects was approximately $141,933.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2024, we did not have any such firm commitments to purchase materials outstanding.</w:t>
      </w: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Current operating and finance lease liabilities of $20,488 and $4,646, respectively, as of June 30, 2024, and $19,496 and $4,301, respectively, as of September 30, 2023,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June 30, 2024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9"/>
        </w:trPr>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4"/>
                <w:szCs w:val="24"/>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24,975</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20,372</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13,546</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6,704</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5,982</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78,433</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8,125</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59,203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70,308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June 30, 2024 is $8,704.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color w:val="auto"/>
              </w:rPr>
              <w:t>Three Months Ended</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12"/>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June 30, 2024</w:t>
            </w:r>
          </w:p>
        </w:tc>
        <w:tc>
          <w:tcPr>
            <w:tcW w:w="22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June 30, 2023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June 30, 2024</w:t>
            </w:r>
          </w:p>
        </w:tc>
        <w:tc>
          <w:tcPr>
            <w:tcW w:w="220" w:type="dxa"/>
            <w:vAlign w:val="bottom"/>
          </w:tcPr>
          <w:p>
            <w:pPr>
              <w:spacing w:after="0"/>
              <w:rPr>
                <w:sz w:val="18"/>
                <w:szCs w:val="18"/>
                <w:color w:val="auto"/>
              </w:rPr>
            </w:pP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June 30, 2023</w:t>
            </w:r>
          </w:p>
        </w:tc>
      </w:tr>
      <w:tr>
        <w:trPr>
          <w:trHeight w:val="212"/>
        </w:trPr>
        <w:tc>
          <w:tcPr>
            <w:tcW w:w="4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13,857</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1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2"/>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1,701</w:t>
            </w:r>
          </w:p>
        </w:tc>
      </w:tr>
      <w:tr>
        <w:trPr>
          <w:trHeight w:val="21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r>
      <w:tr>
        <w:trPr>
          <w:trHeight w:val="212"/>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24,967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20,541</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5"/>
          </w:tcPr>
          <w:p>
            <w:pPr>
              <w:ind w:left="740"/>
              <w:spacing w:after="0"/>
              <w:rPr>
                <w:sz w:val="20"/>
                <w:szCs w:val="20"/>
                <w:color w:val="auto"/>
              </w:rPr>
            </w:pPr>
            <w:r>
              <w:rPr>
                <w:rFonts w:ascii="Times New Roman" w:cs="Times New Roman" w:eastAsia="Times New Roman" w:hAnsi="Times New Roman"/>
                <w:sz w:val="17"/>
                <w:szCs w:val="17"/>
                <w:color w:val="auto"/>
              </w:rPr>
              <w:t>Three Months Ended</w:t>
            </w:r>
          </w:p>
        </w:tc>
        <w:tc>
          <w:tcPr>
            <w:tcW w:w="240" w:type="dxa"/>
            <w:vAlign w:val="bottom"/>
          </w:tcPr>
          <w:p>
            <w:pPr>
              <w:spacing w:after="0"/>
              <w:rPr>
                <w:sz w:val="19"/>
                <w:szCs w:val="19"/>
                <w:color w:val="auto"/>
              </w:rPr>
            </w:pPr>
          </w:p>
        </w:tc>
        <w:tc>
          <w:tcPr>
            <w:tcW w:w="3180" w:type="dxa"/>
            <w:vAlign w:val="bottom"/>
            <w:gridSpan w:val="5"/>
          </w:tcPr>
          <w:p>
            <w:pPr>
              <w:jc w:val="right"/>
              <w:ind w:right="93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12"/>
        </w:trPr>
        <w:tc>
          <w:tcPr>
            <w:tcW w:w="4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June 30, 2024</w:t>
            </w: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June 30, 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June 30, 2024</w:t>
            </w:r>
          </w:p>
        </w:tc>
        <w:tc>
          <w:tcPr>
            <w:tcW w:w="3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June 30, 2023</w:t>
            </w:r>
          </w:p>
        </w:tc>
      </w:tr>
      <w:tr>
        <w:trPr>
          <w:trHeight w:val="21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6,088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18,152</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17,674</w:t>
            </w:r>
          </w:p>
        </w:tc>
      </w:tr>
      <w:tr>
        <w:trPr>
          <w:trHeight w:val="219"/>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24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207</w:t>
            </w:r>
          </w:p>
        </w:tc>
        <w:tc>
          <w:tcPr>
            <w:tcW w:w="2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605</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168"/>
        </w:trPr>
        <w:tc>
          <w:tcPr>
            <w:tcW w:w="432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5,116</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12,691</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14,310</w:t>
            </w:r>
          </w:p>
        </w:tc>
      </w:tr>
      <w:tr>
        <w:trPr>
          <w:trHeight w:val="168"/>
        </w:trPr>
        <w:tc>
          <w:tcPr>
            <w:tcW w:w="432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2"/>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4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284</w:t>
            </w:r>
          </w:p>
        </w:tc>
        <w:tc>
          <w:tcPr>
            <w:tcW w:w="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1,268</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5,807</w:t>
            </w:r>
          </w:p>
        </w:tc>
      </w:tr>
      <w:tr>
        <w:trPr>
          <w:trHeight w:val="477"/>
        </w:trPr>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gridSpan w:val="6"/>
          </w:tcPr>
          <w:p>
            <w:pPr>
              <w:jc w:val="right"/>
              <w:ind w:right="960"/>
              <w:spacing w:after="0"/>
              <w:rPr>
                <w:sz w:val="20"/>
                <w:szCs w:val="20"/>
                <w:color w:val="auto"/>
              </w:rPr>
            </w:pPr>
            <w:r>
              <w:rPr>
                <w:rFonts w:ascii="Times New Roman" w:cs="Times New Roman" w:eastAsia="Times New Roman" w:hAnsi="Times New Roman"/>
                <w:sz w:val="17"/>
                <w:szCs w:val="17"/>
                <w:color w:val="auto"/>
              </w:rPr>
              <w:t>June 30, 2024</w:t>
            </w:r>
          </w:p>
        </w:tc>
        <w:tc>
          <w:tcPr>
            <w:tcW w:w="17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September 30, 2023</w:t>
            </w: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years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2.9 years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years</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AND DIVESTITURES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 2024, the Company acquired all of the equity interests of Greiner Industries, Inc. ("Greiner"), a Mount Joy, Pennsylvania-based structural steel fabrication and services company for a purchase price of $70,488. Greiner is part of our Infrastructure Solutions segment and continues to operate under the Greiner name. The acquisition of Greiner will expand our geographic footprint, add custom structural steel fabrication to our product offerings, and provide additional capacity for our existing custom engineered product offerings. In addition to cash consideration of $67,698, the purchase price also includes contingent consideration of up to $5,000 upon achievement of certain future earnings targets, which was valued at $2,790 as of the date of the acquisition. The fair value of the total consideration for this transaction remains subject to post-closing adjustments as of the date of this report.</w:t>
      </w:r>
    </w:p>
    <w:p>
      <w:pPr>
        <w:spacing w:after="0" w:line="19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accounted for the transaction under the acquisition method of accounting, which requires recording assets and liabilities at fair value (Level 3). The preliminary purchase price allocation is subject to valuation activities that are currently underway; therefore, the allocation of purchase price is subject to change, and is expected to result in adjustments to the preliminary amounts recorded. The preliminary valuation of the assets acquired and liabilities assumed is as follows:</w:t>
      </w:r>
    </w:p>
    <w:p>
      <w:pPr>
        <w:spacing w:after="0" w:line="233" w:lineRule="exact"/>
        <w:rPr>
          <w:sz w:val="20"/>
          <w:szCs w:val="20"/>
          <w:color w:val="auto"/>
        </w:rPr>
      </w:pPr>
    </w:p>
    <w:tbl>
      <w:tblPr>
        <w:tblLayout w:type="fixed"/>
        <w:tblInd w:w="1800" w:type="dxa"/>
        <w:tblCellMar>
          <w:top w:w="0" w:type="dxa"/>
          <w:left w:w="0" w:type="dxa"/>
          <w:bottom w:w="0" w:type="dxa"/>
          <w:right w:w="0" w:type="dxa"/>
        </w:tblCellMar>
      </w:tblP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22,561</w:t>
            </w:r>
          </w:p>
        </w:tc>
      </w:tr>
      <w:tr>
        <w:trPr>
          <w:trHeight w:val="21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2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47,678</w:t>
            </w: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1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r>
      <w:tr>
        <w:trPr>
          <w:trHeight w:val="212"/>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70,488</w:t>
            </w:r>
          </w:p>
        </w:tc>
      </w:tr>
      <w:tr>
        <w:trPr>
          <w:trHeight w:val="20"/>
        </w:trPr>
        <w:tc>
          <w:tcPr>
            <w:tcW w:w="3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right="240"/>
        <w:spacing w:after="0" w:line="270" w:lineRule="auto"/>
        <w:rPr>
          <w:sz w:val="20"/>
          <w:szCs w:val="20"/>
          <w:color w:val="auto"/>
        </w:rPr>
      </w:pPr>
      <w:r>
        <w:rPr>
          <w:rFonts w:ascii="Times New Roman" w:cs="Times New Roman" w:eastAsia="Times New Roman" w:hAnsi="Times New Roman"/>
          <w:sz w:val="17"/>
          <w:szCs w:val="17"/>
          <w:color w:val="auto"/>
        </w:rPr>
        <w:t>In connection with this acquisition, we acquired goodwill of $2,148, all of which is tax deductible, attributable to an assembled workforce and other intangibles that do not qualify for separate recognition. The intangible assets acquired primarily consisted of customer relationships, backlog and trade name with a total weighted-average amortization period of 3.4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Greiner contributed $15,286 in revenue and $701 in operating income during the three and nine months ended June 30,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during the year ended September 30,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Divestitures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Condensed Consolidated Statements of Comprehensive Income for the nine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2023,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2023,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Increases in the target federal funds rate throughout calendar years 2022 and 2023 have resulted in higher mortgage rates, which when combined with elevated materials and labor costs, have had a substantial impact on the affordability of housing. We continue to monitor market conditions for signs of slowing activity in the residential markets as decreased housing affordability has led to uncertainty around near-term demand for our services in the single-family housing market. However, demand in the primary single-family markets we serve has remained firm in the current fiscal year, and there continue to be several trends, such as rising household formation and population growth in our key markets, that we expect will drive long-term demand for our services. In the multi-family residential market, a large supply of new units coming to completion in 2024, as well as tighter lending conditions for project owners, is expected to have a negative impact on demand for 2025 and 2026. Within the various other end markets we serve, such as data centers and manufacturing, our customers' capital budgets for new construction projects may be impacted by broader economic, technological or other factors. Demand in these markets has remained firm in the current fiscal year.</w:t>
      </w:r>
    </w:p>
    <w:p>
      <w:pPr>
        <w:spacing w:after="0" w:line="201"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While the COVID-19 pandemic's impact on markets, the supply chain and the labor force had less of an impact on our business thus far in fiscal 2024 compared with prior fiscal years, COVID-19 and any future pandemic or other public health emergency could impact our workforce, customers and suppliers in the future.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2023</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2024</w:t>
            </w: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gridSpan w:val="9"/>
          </w:tcPr>
          <w:p>
            <w:pPr>
              <w:jc w:val="center"/>
              <w:ind w:right="3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573,634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74.7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476,842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81.6</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18.4</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Consolidated revenues for the three months ended June 30, 2024, were $184.0 million higher than for the three months ended June 30, 2023, an increase of 31.5%, with increases at all four of our operating segments. See further discussion below of changes in revenues for our individual segments.</w:t>
      </w:r>
    </w:p>
    <w:p>
      <w:pPr>
        <w:spacing w:after="0" w:line="17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Consolidated gross profit for the three months ended June 30, 2024 increased $87.2 million compared to the three months ended June 30, 2023. Our overall gross profit percentage was 25.3% during the three months ended June 30, 2024, as compared to 18.4% during the three months ended June 30, 2023. Gross profit as a percentage of revenue increased at all four of our operating segments. See further discussion below of changes in gross margin for our individual segments.</w:t>
      </w:r>
    </w:p>
    <w:p>
      <w:pPr>
        <w:spacing w:after="0" w:line="191"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2024, our selling, general and administrative expenses were $104.7 million, an increase of $30.4 million, or 40.9%, over the three months ended June 30, 2023, primarily driven by increased personnel costs, particularly at our Residential operating segment, and higher incentive compensation across our business as a result of higher earnings. Increases in selling, general and administrative expenses at our other operating segments were generally consistent with each segment's respective revenue growth. Selling, general and administrative expenses as a percentage of revenue increased from 12.7% for the three months ended June 30, 2023 to 13.6% for the three months ended June 30, 2024.</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26" w:name="page27"/>
    <w:bookmarkEnd w:id="26"/>
    <w:tbl>
      <w:tblPr>
        <w:tblLayout w:type="fixed"/>
        <w:tblInd w:w="12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color w:val="auto"/>
              </w:rPr>
              <w:t>2024</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10"/>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2,108,592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1,598,394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75.8</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1,424,233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82.4</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167,027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Consolidated revenues for the nine months ended June 30, 2024, were $380.4 million higher than for the nine months ended June 30, 2023, an increase of 22.0%, with increases at all four of our operating segments. See further discussion below of changes in revenues for our individual segments.</w:t>
      </w:r>
    </w:p>
    <w:p>
      <w:pPr>
        <w:spacing w:after="0" w:line="17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24.2% during the nine months ended June 30, 2024, as compared to 17.6% during the nine months ended June 30, 2023. Gross profit as a percentage of revenue increased at all four of our operating segments. See further discussion below of changes in gross margin for our individual segments.</w:t>
      </w:r>
    </w:p>
    <w:p>
      <w:pPr>
        <w:spacing w:after="0" w:line="1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During the nine months ended June 30, 2024, our selling, general and administrative expenses were $285.8 million, an increase of $74.4 million, or 35.2%, over the nine months ended June 30, 2023, primarily driven by increased personnel costs, particularly at our Residential operating segment in connection with a reorganization of the segment's management structure in fiscal 2023, and higher incentive compensation across our businesses as a result of higher earnings. Increases in selling, general and administrative expenses at our other operating segments were generally consistent with each segment's respective revenue growth. Selling, general and administrative expenses as a percentage of revenue increased from 12.2% for the nine months ended June 30, 2023 to 13.6% for the nine months ended June 30, 2024.</w:t>
      </w:r>
    </w:p>
    <w:p>
      <w:pPr>
        <w:spacing w:after="0" w:line="19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Our results for the nine months ended June 30, 2023 included a pretax gain on sale of $13.0 million from the sale of STR Mechanical, LLC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 on October 7, 2022. STR previously operated as part of our Commercial &amp; Industrial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80.8</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9.7</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$50.7 million during the three months ended June 30, 2024, or 35.8%,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The increase primarily resulted from an increase in demand from data center customers.</w:t>
      </w:r>
    </w:p>
    <w:p>
      <w:pPr>
        <w:spacing w:after="0" w:line="169"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June 30, 2024 increased by $9.9 million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2023. Gross profit as a percentage of revenue was 19.3% in the three months ended June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30, 2024 compared to 19.2% in the three months ended June 30, 2023 as we continued to benefit from increased volume and favorable contract pricing.</w:t>
      </w:r>
    </w:p>
    <w:p>
      <w:pPr>
        <w:spacing w:after="0" w:line="2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$2.4 million, or 17.9%,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June 30, 2024, compared to the three months ended June 30, 2023. The increase primarily reflects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decreased from 9.7% for the three months ended June 30, 2023 to 8.4% during the three months ended June 30, 2024 as we benefited from the scale of our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82.8</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74,076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17.2</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9.2</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$126.6 million, or 29.4%, during the nine months ended June 30, 2024,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The increase primarily resulted from an increase in demand from data center, high-tech manufacturing and e-commerce distribution center customers.</w:t>
      </w:r>
    </w:p>
    <w:p>
      <w:pPr>
        <w:spacing w:after="0" w:line="1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nine months ended June 30, 2024 increased by $38.3 million, or 51.6%,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 months ended June 30, 2023. Gross profit as a percentage of revenue increased from 17.2% to 20.2%. The increase in gross profit and gross profit as a percentage of revenue primarily reflects increased volume, successful project execution, favorable contract pricing and the impact of a more disciplined bidding process.</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$8.6 million, or 22.0%,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June 30, 2024, compared to the nine months ended June 30, 2023. The increase primarily reflects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revenues in the Communications segment was 8.6% during the nine months ended June 30, 2024 compared to 9.2% during the nine months ended June 30, 2023 as we benefited from the scale of our operations.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72.1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260,679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82.0</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18.0</w:t>
            </w:r>
          </w:p>
        </w:tc>
        <w:tc>
          <w:tcPr>
            <w:tcW w:w="30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13.2</w:t>
            </w:r>
          </w:p>
        </w:tc>
        <w:tc>
          <w:tcPr>
            <w:tcW w:w="30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$59.5 million, or 18.7%, during the three months ended June 30, 2024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2023. The increase was primarily driven by an expansion of our plumbing and HVAC offerings and continued strong demand in our single-family business, where revenues increased by $44.4 million, or 18.4%. In addition, in our multi-family business, successful execution of its backlog contributed to an increase in revenues of $15.1 million, or 19.6%.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right="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June 30, 2024, our Residential segment's gross profit increased by $48.0 million, or 83.7%,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Gross profit as a percentage of revenue increased to 27.9% during the three months ended June 30, 2024, compared to 18.0% for the three months ended June 30, 2023. The increase in profitability was driven primarily by improved project execution in our multi-family business, reduced material costs resulting from improved procurement, and other processes implemented as part of the reorganization of the segment in fiscal 2023.</w:t>
      </w:r>
    </w:p>
    <w:p>
      <w:pPr>
        <w:spacing w:after="0" w:line="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$19.7 million, or 47.0%,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June 30, 2024, compared to the three months ended June 30, 2023. The increase was driven by higher personnel costs to support the growth of our business and incentive profit sharing for division management resulting from higher earnings. Selling, general and administrative expenses as a percentage of revenue in the Residential segment increased to 16.3% during the three months ended June 30, 2024, compared to 13.2% in the three months ended June 30, 2023.</w:t>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2023</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2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763,351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770,419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81.8</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18.2</w:t>
            </w:r>
          </w:p>
        </w:tc>
        <w:tc>
          <w:tcPr>
            <w:tcW w:w="300" w:type="dxa"/>
            <w:vAlign w:val="bottom"/>
            <w:shd w:val="clear" w:color="auto" w:fill="CCEEFF"/>
          </w:tcPr>
          <w:p>
            <w:pPr>
              <w:spacing w:after="0"/>
              <w:rPr>
                <w:sz w:val="18"/>
                <w:szCs w:val="18"/>
                <w:color w:val="auto"/>
              </w:rPr>
            </w:pPr>
          </w:p>
        </w:tc>
      </w:tr>
      <w:tr>
        <w:trPr>
          <w:trHeight w:val="219"/>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12.6</w:t>
            </w:r>
          </w:p>
        </w:tc>
        <w:tc>
          <w:tcPr>
            <w:tcW w:w="300" w:type="dxa"/>
            <w:vAlign w:val="bottom"/>
          </w:tcPr>
          <w:p>
            <w:pPr>
              <w:spacing w:after="0"/>
              <w:rPr>
                <w:sz w:val="19"/>
                <w:szCs w:val="19"/>
                <w:color w:val="auto"/>
              </w:rPr>
            </w:pPr>
          </w:p>
        </w:tc>
      </w:tr>
      <w:tr>
        <w:trPr>
          <w:trHeight w:val="21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$90.6 million, or 9.6%, during the nine months ended June 30, 2024, compared to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2023. The increase was primarily driven by an expansion of our plumbing and HVAC offerings and continued strong demand in our single-family business, where revenues increased by $72.3 million, or 10.2%, compared to the prior year period. In addition, multi-family and other revenue increased by $18.2 million, or 7.9%, for the nine months ended June 30, 2024 compared to the prior year period driven by continued strong demand and successful execution of existing backlog, partially offset by a reduction in activity in certain areas as we became more selective in our bidding process.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Gross Profit. During the nine months ended June 30, 2024, our Residential segment's gross profit increased by $97.6 million, or 56.8%, compared to the nine months ended June 30, 2023. Gross margin as a percentage of revenue increased to 26.1% during the nine months ended June 30, 2024, compared to 18.2% during the nine months ended June 30, 2023. The increase in profitability was driven primarily by improved project execution in our multi-family business, as well as the benefit of improved procurement and other processes implemented as part of the reorganization of the segment in fiscal 2023.</w:t>
      </w:r>
    </w:p>
    <w:p>
      <w:pPr>
        <w:spacing w:after="0" w:line="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$49.3 million, or 41.4%,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June 30, 2024, compared to the nine months ended June 30, 2023. The increase was driven by higher personnel costs in connection with a reorganization of the segment's management structure in fiscal 2023 and increased incentive profit sharing for division management resulting from higher earnings. Selling, general and administrative expenses as a percentage of revenue in the Residential segment increased to 16.3% during the nine months ended June 30, 2024, compared to 12.6% during the nine months ended June 30, 2023.</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71,366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70.0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42,851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75.1</w:t>
            </w:r>
          </w:p>
        </w:tc>
        <w:tc>
          <w:tcPr>
            <w:tcW w:w="26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24.9</w:t>
            </w:r>
          </w:p>
        </w:tc>
        <w:tc>
          <w:tcPr>
            <w:tcW w:w="260" w:type="dxa"/>
            <w:vAlign w:val="bottom"/>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w:t>
            </w:r>
          </w:p>
        </w:tc>
        <w:tc>
          <w:tcPr>
            <w:tcW w:w="26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6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$45.0 million during the three months ended June 30, 2024, an increase of 78.8%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June 30, 2023, driven primarily by continued strong demand in our custom power solutions manufacturing businesses, including generator enclosures. Greiner Industries, Inc. ("Greiner"), which was acquired on April 1, 2024, contributed $15.3 million in revenue in the three months ended June 30, 2024.</w:t>
      </w:r>
    </w:p>
    <w:p>
      <w:pPr>
        <w:spacing w:after="0" w:line="19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June 30, 2024 increased $16.5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primarily resulting from higher volumes, improved pricing and operating efficiencies at our facilities as well as the impact of investments to increase capacity we have made over the last several years. Gross profit as a percentage of revenue increased from 24.9% to 30.0%.</w:t>
      </w:r>
    </w:p>
    <w:p>
      <w:pPr>
        <w:spacing w:after="0" w:line="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increased by $3.8 million, compared to the three months ended June 30, 2023, primarily as a result of increased employee compensation cost to support growth in the business. Selling, general and administrative expenses as a percentage of revenue decreased from 12.4% for the three months ended June 30, 2023 to 10.7% for the three months ended June 30, 2024 as we benefited from the scale of our operations.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74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69.8</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120,089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75.5</w:t>
            </w:r>
          </w:p>
        </w:tc>
        <w:tc>
          <w:tcPr>
            <w:tcW w:w="280" w:type="dxa"/>
            <w:vAlign w:val="bottom"/>
            <w:tcBorders>
              <w:bottom w:val="single" w:sz="8" w:color="auto"/>
            </w:tcBorders>
          </w:tcPr>
          <w:p>
            <w:pPr>
              <w:spacing w:after="0"/>
              <w:rPr>
                <w:sz w:val="19"/>
                <w:szCs w:val="19"/>
                <w:color w:val="auto"/>
              </w:rPr>
            </w:pPr>
          </w:p>
        </w:tc>
      </w:tr>
      <w:tr>
        <w:trPr>
          <w:trHeight w:val="21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280" w:type="dxa"/>
            <w:vAlign w:val="bottom"/>
            <w:shd w:val="clear" w:color="auto" w:fill="CCEEFF"/>
          </w:tcPr>
          <w:p>
            <w:pPr>
              <w:spacing w:after="0"/>
              <w:rPr>
                <w:sz w:val="18"/>
                <w:szCs w:val="18"/>
                <w:color w:val="auto"/>
              </w:rPr>
            </w:pPr>
          </w:p>
        </w:tc>
      </w:tr>
      <w:tr>
        <w:trPr>
          <w:trHeight w:val="219"/>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tcPr>
          <w:p>
            <w:pPr>
              <w:spacing w:after="0"/>
              <w:rPr>
                <w:sz w:val="19"/>
                <w:szCs w:val="19"/>
                <w:color w:val="auto"/>
              </w:rPr>
            </w:pPr>
          </w:p>
        </w:tc>
      </w:tr>
      <w:tr>
        <w:trPr>
          <w:trHeight w:val="219"/>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9"/>
                <w:szCs w:val="19"/>
                <w:color w:val="auto"/>
              </w:rPr>
            </w:pPr>
          </w:p>
        </w:tc>
      </w:tr>
      <w:tr>
        <w:trPr>
          <w:trHeight w:val="21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$81.7 million, or 51.4%, during the nine months ended June 30, 2024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 months ended June 30, 2023. The increase in revenue was driven primarily by continued strong demand in our custom power solutions manufacturing businesses, including generator enclosures. Greiner, which was acquired on April 1, 2024, contributed $15.3 million in revenue in the nine months ended June 30, 2024.</w:t>
      </w:r>
    </w:p>
    <w:p>
      <w:pPr>
        <w:spacing w:after="0" w:line="1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nine months ended June 30, 2024 increased by $33.7 million,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primarily resulting from higher volumes, improved pricing and operating efficiencies at our facilities as well as the impact of investments to increase capacity we have made over the last several years. Gross profit as a percentage of revenues increased to 30.2% for the nine months ended June 30, 2024 compared to 24.5% for the nine months ended June 30, 2023.</w:t>
      </w:r>
    </w:p>
    <w:p>
      <w:pPr>
        <w:spacing w:after="0" w:line="19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increased by $7.0 million, compared to the nine months ended June 30, 2023, primarily as a result of increased employee compensation cost to support growth in the business. Selling, general and administrative expenses as 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ind w:right="60"/>
        <w:spacing w:after="0" w:line="287" w:lineRule="auto"/>
        <w:rPr>
          <w:sz w:val="20"/>
          <w:szCs w:val="20"/>
          <w:color w:val="auto"/>
        </w:rPr>
      </w:pPr>
      <w:r>
        <w:rPr>
          <w:rFonts w:ascii="Times New Roman" w:cs="Times New Roman" w:eastAsia="Times New Roman" w:hAnsi="Times New Roman"/>
          <w:sz w:val="17"/>
          <w:szCs w:val="17"/>
          <w:color w:val="auto"/>
        </w:rPr>
        <w:t>percentage of revenue decreased from 11.8% for the nine months ended June 30, 2023 to 10.7% for the nine months ended June 30, 2024 as we benefited from the scale of our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74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77.5</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86.9</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13.1</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jc w:val="both"/>
        <w:ind w:right="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$28.8 million, or 42.5%, during the three months ended June 30, 2024,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June 30, 2023. The increase primarily relates to a large data center project.</w:t>
      </w:r>
    </w:p>
    <w:p>
      <w:pPr>
        <w:spacing w:after="0" w:line="1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June 30, 2024, increased by $12.8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Gross profit as a percentage of revenue increased from 13.1% for the quarter ended June 30, 2023 to 22.5% for the quarter ended June 30, 2024. In the three months ended June 30, 2024, segment results benefited from favorable project execution and additions to the original scope of work at favorable margins on the large data center project. We also benefited from improved project execution and bid margins across the business.</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increased by $2.4 million, or 38.7%, compared to the three months ended June 30, 2023 primarily as a result of increased employee compensation cost, including higher incentive compensation as a result of higher earnings. Selling, general and administrative expenses as a percentage of revenue decreased from 9.3% for the three months ended June 30, 2023, to 9.0% for the three months ended June 30, 2024, as we benefited from the scale of our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Nine Months Ended June 30,</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8"/>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177,821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32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2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32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bl>
    <w:p>
      <w:pPr>
        <w:spacing w:after="0" w:line="279"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$81.5 million, or 41.4%, during the nine months ended June 30, 2024,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 months ended June 30, 2023. The increase primarily relates to a large data center project.</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nine months ended June 30, 2024 increased by $36.6 million, or 190.2%,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nine months ended June 30, 2023. Gross profit as a percentage of revenue increased from 9.8% for the nine months ended June 30, 2023 to 20.1% for the nine months ended June 30, 2024. In the nine months ended June 30, 2024, segment results benefited from favorable project execution and additions to the original scope of work at favorable margins on the large data center project, improved project execution across the business, improving bid margins in certain markets, and a more selective bidding strategy implemented in the prior year.</w:t>
      </w:r>
    </w:p>
    <w:p>
      <w:pPr>
        <w:spacing w:after="0" w:line="19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increased by $5.9 million, or 32.1%, compared to the nine months ended June 30, 2023 primarily as a result of increased employee compensation cost, including higher incentive compensation as a result of higher earnings. Selling, general and administrative expenses as a percentage of revenue decreased from 9.3% for the nine months ended June 30, 2023 to 8.7% for the nine months ended June 30, 2024 as we benefited from the scale of our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Assets</w:t>
      </w:r>
      <w:r>
        <w:rPr>
          <w:rFonts w:ascii="Times New Roman" w:cs="Times New Roman" w:eastAsia="Times New Roman" w:hAnsi="Times New Roman"/>
          <w:sz w:val="17"/>
          <w:szCs w:val="17"/>
          <w:color w:val="auto"/>
        </w:rPr>
        <w:t>. As discussed above, our results for the nine months ended June 30, 2023 include a pretax gain on sale of $13.0 million from the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 in October 2022.</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542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5"/>
        </w:trPr>
        <w:tc>
          <w:tcPr>
            <w:tcW w:w="3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00" w:type="dxa"/>
            <w:vAlign w:val="bottom"/>
            <w:tcBorders>
              <w:bottom w:val="single" w:sz="8" w:color="auto"/>
            </w:tcBorders>
          </w:tcPr>
          <w:p>
            <w:pPr>
              <w:spacing w:after="0"/>
              <w:rPr>
                <w:sz w:val="21"/>
                <w:szCs w:val="21"/>
                <w:color w:val="auto"/>
              </w:rPr>
            </w:pPr>
          </w:p>
        </w:tc>
      </w:tr>
      <w:tr>
        <w:trPr>
          <w:trHeight w:val="212"/>
        </w:trPr>
        <w:tc>
          <w:tcPr>
            <w:tcW w:w="3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r>
      <w:tr>
        <w:trPr>
          <w:trHeight w:val="196"/>
        </w:trPr>
        <w:tc>
          <w:tcPr>
            <w:tcW w:w="3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3"/>
          </w:tcPr>
          <w:p>
            <w:pPr>
              <w:jc w:val="right"/>
              <w:ind w:right="634"/>
              <w:spacing w:after="0"/>
              <w:rPr>
                <w:sz w:val="20"/>
                <w:szCs w:val="20"/>
                <w:color w:val="auto"/>
              </w:rPr>
            </w:pPr>
            <w:r>
              <w:rPr>
                <w:rFonts w:ascii="Times New Roman" w:cs="Times New Roman" w:eastAsia="Times New Roman" w:hAnsi="Times New Roman"/>
                <w:sz w:val="15"/>
                <w:szCs w:val="15"/>
                <w:color w:val="auto"/>
              </w:rPr>
              <w:t>(In thousands)</w:t>
            </w:r>
          </w:p>
        </w:tc>
        <w:tc>
          <w:tcPr>
            <w:tcW w:w="500" w:type="dxa"/>
            <w:vAlign w:val="bottom"/>
          </w:tcPr>
          <w:p>
            <w:pPr>
              <w:spacing w:after="0"/>
              <w:rPr>
                <w:sz w:val="17"/>
                <w:szCs w:val="17"/>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42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45"/>
        </w:trPr>
        <w:tc>
          <w:tcPr>
            <w:tcW w:w="3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4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440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0"/>
        </w:trPr>
        <w:tc>
          <w:tcPr>
            <w:tcW w:w="3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2024, we incurred interest expense of $0.4 million primarily comprised of interest on our finance lease agreements and fees on an average letter of credit balance of $5.6 million under our revolving credit facility and an average unused line of credit balance of $142.9 million. This compares to interest expense of $0.4 million for the three months ended June 30, 2023, primarily comprising interest on our finance lease agreements and interest expense from our revolving credit facility, which had an average outstanding balance of $2.5 million, in addition to fees on an average letter of credit balance of $4.3 million under our revolving credit facility and an average unused line of credit balance of $142.9 million.</w:t>
      </w:r>
    </w:p>
    <w:p>
      <w:pPr>
        <w:spacing w:after="0" w:line="20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change in total other (income) expense, net for the three months ended June 30, 2024, compared to the three months ended June 30, 2023 is primarily the result of unrealized losses on investments in trading securities of $1.6 million in the three months ended June 30, 2024 with no comparable gains or losses on investments in the three months ended June 30, 2023, partially offset by interest income of $1.0 million earned during the three months ended June 30, 2024 with no such interest income earned in the three months ended June 30,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Nine Months Ended June 30,</w:t>
            </w:r>
          </w:p>
        </w:tc>
        <w:tc>
          <w:tcPr>
            <w:tcW w:w="56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5"/>
                <w:szCs w:val="15"/>
                <w:color w:val="auto"/>
              </w:rPr>
              <w:t>(In thousands)</w:t>
            </w:r>
          </w:p>
        </w:tc>
        <w:tc>
          <w:tcPr>
            <w:tcW w:w="56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r>
      <w:tr>
        <w:trPr>
          <w:trHeight w:val="245"/>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nine months ended June 30, 2024, we incurred interest expense of $1.2 million primarily comprised of interest on our finance lease agreements and fees on an average letter of credit balance of $5.5 million under our revolving credit facility and an average unused line of credit balance of $142.7 million. This compares to interest expense of $2.6 million for the nine months ended June 30, 2023, primarily comprised of interest expense from our revolving credit facility, which had an average outstanding balance of $35.5 million, in addition to interest on our finance lease agreements and fees on an average letter of credit balance of $4.9 million under our revolving credit facility and an average unused line of credit balance of $108.9 million. The reduction in interest expense in the nine months ended June 30, 2024 compared to the nine months ended June 30, 2023 was a result of a decrease in average outstanding borrowings under our revolving credit facility, which had no outstanding balance during the nine months ended June 30, 2024.</w:t>
      </w:r>
    </w:p>
    <w:p>
      <w:pPr>
        <w:spacing w:after="0" w:line="20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The change in total other (income) expense, net for the nine months ended June 30, 2024, compared with June 30, 2023 is primarily the result of unrealized losses on investments in trading securities of $3.3 million in the nine months ended June 30, 2024 compared to realized gains on investments in trading securities of $1.0 million in the nine months ended June 30, 2023, offset by interest income of $3.3 million earned during the nine months ended June 30, 2024 with no such interest income in the nine months ended June 30,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$22.6 million for the three months ended June 30, 2024, compared to $8.3 million for the three months ended June 30, 2023, driven by increased pretax income.</w:t>
      </w:r>
    </w:p>
    <w:p>
      <w:pPr>
        <w:spacing w:after="0" w:line="17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$57.3 million for the nine months ended June 30, 2024, compared to $26.4 million for the nine months ended June 30, 2023, driven by increased pretax income.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2023. Some of the more significant estimates include revenue recognition, business combinations, valuation allowance for deferred tax assets and income taxes.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2023.</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(in thousands):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1,177,184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1,072,593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1,143,423</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519,973</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297,451</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379,463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414,589</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1,697,157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1,362,895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1,452,056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1,558,012</w:t>
            </w:r>
          </w:p>
        </w:tc>
      </w:tr>
    </w:tbl>
    <w:p>
      <w:pPr>
        <w:spacing w:after="0" w:line="1" w:lineRule="exact"/>
        <w:rPr>
          <w:sz w:val="20"/>
          <w:szCs w:val="20"/>
          <w:color w:val="auto"/>
        </w:rPr>
      </w:pPr>
    </w:p>
    <w:p>
      <w:pPr>
        <w:ind w:left="120" w:right="400" w:firstLine="10"/>
        <w:spacing w:after="0" w:line="253" w:lineRule="auto"/>
        <w:tabs>
          <w:tab w:leader="none" w:pos="33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During the nine months ended June 30, 2024, working capital exclusive of cash increased by $74.6 million from September 30, 2023, reflecting a $148.2 million increase in current assets excluding cash partially offset by a $73.6 million increase in current liabilities during the period.</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During the nine months ended June 30, 2024, our current assets exclusive of cash increased to $743.7 million, as compared to $595.5 million as of September 30, 2023. An increase in activity and the timing of billings at our Communications and Infrastructure Solutions businesses, along with trade receivables acquired as part of the Greiner acquisition, drove a $93.7 million increase in trade accounts receivable. While the rate of collections may vary, our typically secured position, resulting from our ability in general to secure liens against our customers’ overdue receivables, offers some protection that collection will occur eventually to the extent that our security retains value. We also had a $20.1 million increase in prepaid expenses and other current assets as we invested in equity and debt securities in fiscal 2024, a $13.9 million increase in retainage driven by the timing of large projects approaching completion, a $11.2 million increase in inventories from bulk material purchases in our Residential business as we benefited from favorable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3" w:name="page34"/>
    <w:bookmarkEnd w:id="33"/>
    <w:p>
      <w:pPr>
        <w:ind w:right="380"/>
        <w:spacing w:after="0" w:line="287" w:lineRule="auto"/>
        <w:rPr>
          <w:sz w:val="20"/>
          <w:szCs w:val="20"/>
          <w:color w:val="auto"/>
        </w:rPr>
      </w:pPr>
      <w:r>
        <w:rPr>
          <w:rFonts w:ascii="Times New Roman" w:cs="Times New Roman" w:eastAsia="Times New Roman" w:hAnsi="Times New Roman"/>
          <w:sz w:val="17"/>
          <w:szCs w:val="17"/>
          <w:color w:val="auto"/>
        </w:rPr>
        <w:t>pricing, and a $9.3 million increase in costs and estimated earnings in excess of contract billings primarily from contract assets acquired as part of the Greiner acquisition.</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nine months ended June 30, 2024, our total current liabilities increased by $73.6 million to $474.2 million, compared to $400.6 million as of September 30, 2023, driven by a $35.5 million increase in billings in excess of costs and estimated earnings driven by the timing of contract billings on projects on which revenue is recognized using the percentage of completion method, and a $38.1 million increase in accounts payable and accrued expenses primarily as a result of increased activity and the timing of payments across all of our operating segments.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 the estimated cost to complete our bonded projects was approximately $141.9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80" w:hanging="317"/>
        <w:spacing w:after="0" w:line="287" w:lineRule="auto"/>
        <w:tabs>
          <w:tab w:leader="none" w:pos="14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At June 30, 2024, our Liquidity was $187.9 million, our Excess Availability was $143.0 million (or greater than 50% of minimum Liquidity), and our Fixed Charge Coverage Ratio was 4.5:1.0.</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At June 30, 2024, we had $5.6 million in outstanding letters of credit and no outstanding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w:t>
      </w:r>
    </w:p>
    <w:p>
      <w:pPr>
        <w:spacing w:after="0" w:line="20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$141.6 million during the nine months ended June 30, 2024, as compared to $96.6 million in the nine months ended June 30, 2023. The increase in operating cash flow resulted from increased earnings in the nine months ended June 30, 2024, partially offset by an increase in cash used in working capital during the nine months ended June 30, 2024 as compared with the nine months ended June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Net cash used in investing activities was $96.4 million for the nine months ended June 30, 2024, compared to $9.0 million provided by investing activities in the nine months ended June 30, 2023. During the nine months ended June 30, 2024, we completed the acquisition of Greiner for $67.7 million. We also had capital expenditures of $30.9 million as we acquired new facilities to increase the manufacturing capacity of our Infrastructure Solutions segment's operations, strategically purchased new assets instead of entering into new lease agreements at our Residential and Communications segments, and made other capital expenditures to support the growth of our business. These investing outflows were partially offset by cash provided by the sale of assets of $2.6 million. During the nine months ended June 30, 2023, the sale of assets, including the sale of STR, provided cash of $20.4 million, which was partially offset by $11.3 million used for capital expenditures.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for the nine months ended June 30, 2024 was $76.1 million, compared to $101.9 million for the nine months ended June 30, 2023. Net cash used in financing activities for the nine months ended June 30, 2024 included $31.2 million paid to acquire the noncontrolling interest in Bayonet, $24.3 million used to repurchase our common stock, including repurchases to satisfy statutory withholding requirements upon the vesting of employee stock compensation, $13.5 million in distributions to noncontrolling interests under operating agreements in connection with certain acquisitions, and $4.1 million to settle our contingent consideration liability related to prior year acquisitions. Net cash used in financing activities for the nine months ended June 30, 2023 included net repayments on our credit facility of $82.7 million, $8.2 million used to repurchase our common stock, including repurchases to satisfy statutory withholding requirements upon the vesting of employee stock compensation, and distributions of $8.5 million to noncontrolling interests under operating agreements in connection with certain acquisitions.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 million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157,505 shares pursuant to our repurchase programs during the nine months ended June 30, 2024. Subsequent to June 30, 2024, we repurchased an additional 119,041 shares in open market transactions, which fully utilized the amount remaining under the previous $40.0 million authorization. On July 31, 2024, the Board authorized a new $200.0 million stock repurchase program.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2024, we did not have any such firm commitments to purchase materials outstanding. In connection with expected growth in our business, we are planning to expand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7"/>
          <w:szCs w:val="17"/>
          <w:color w:val="auto"/>
        </w:rPr>
        <w:t>capacity in certain areas. Further, based on increased availability of vehicles and other equipment needed in the business and the relative costs and benefits of purchasing compared with leasing, we expect to satisfy a larger proportion of our vehicle and other equipment needs through purchasing and to reduce our reliance on leasing. As a result, we have updated our capital expenditure expectations for the current fiscal year, and now expect our capital spending for the year ending September 30, 2024 will range from $35 million to $45 million, compared to $17.7 million for the year ended September 30, 2023. There have been no other material changes in our material cash requirements from those disclosed in our Annual Report on Form 10-K for the fiscal year ended September 30, 2023.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June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2024,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11,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21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160" w:type="dxa"/>
            <w:vAlign w:val="bottom"/>
          </w:tcPr>
          <w:p>
            <w:pPr>
              <w:spacing w:after="0"/>
              <w:rPr>
                <w:sz w:val="15"/>
                <w:szCs w:val="15"/>
                <w:color w:val="auto"/>
              </w:rPr>
            </w:pP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21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Part of a Publicly</w:t>
            </w:r>
          </w:p>
        </w:tc>
        <w:tc>
          <w:tcPr>
            <w:tcW w:w="21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rPr>
              <w:t>Purchased Under the Publicly</w:t>
            </w:r>
          </w:p>
        </w:tc>
        <w:tc>
          <w:tcPr>
            <w:tcW w:w="0" w:type="dxa"/>
            <w:vAlign w:val="bottom"/>
          </w:tcPr>
          <w:p>
            <w:pPr>
              <w:spacing w:after="0"/>
              <w:rPr>
                <w:sz w:val="1"/>
                <w:szCs w:val="1"/>
                <w:color w:val="auto"/>
              </w:rPr>
            </w:pPr>
          </w:p>
        </w:tc>
      </w:tr>
      <w:tr>
        <w:trPr>
          <w:trHeight w:val="219"/>
        </w:trPr>
        <w:tc>
          <w:tcPr>
            <w:tcW w:w="2800" w:type="dxa"/>
            <w:vAlign w:val="bottom"/>
            <w:vMerge w:val="continue"/>
          </w:tcPr>
          <w:p>
            <w:pPr>
              <w:spacing w:after="0"/>
              <w:rPr>
                <w:sz w:val="19"/>
                <w:szCs w:val="19"/>
                <w:color w:val="auto"/>
              </w:rPr>
            </w:pPr>
          </w:p>
        </w:tc>
        <w:tc>
          <w:tcPr>
            <w:tcW w:w="210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160" w:type="dxa"/>
            <w:vAlign w:val="bottom"/>
          </w:tcPr>
          <w:p>
            <w:pPr>
              <w:spacing w:after="0"/>
              <w:rPr>
                <w:sz w:val="19"/>
                <w:szCs w:val="19"/>
                <w:color w:val="auto"/>
              </w:rPr>
            </w:pP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2024 – April 30, 2024</w:t>
            </w:r>
          </w:p>
        </w:tc>
        <w:tc>
          <w:tcPr>
            <w:tcW w:w="2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 2024 – May 31, 2024</w:t>
            </w:r>
          </w:p>
        </w:tc>
        <w:tc>
          <w:tcPr>
            <w:tcW w:w="2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2024 – June 30, 2024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157,505</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132.92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16,653,456</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157,505</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132.92</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16,653,456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w:t>
      </w:r>
    </w:p>
    <w:p>
      <w:pPr>
        <w:spacing w:after="0" w:line="58" w:lineRule="exact"/>
        <w:rPr>
          <w:rFonts w:ascii="Times New Roman" w:cs="Times New Roman" w:eastAsia="Times New Roman" w:hAnsi="Times New Roman"/>
          <w:sz w:val="14"/>
          <w:szCs w:val="14"/>
          <w:color w:val="auto"/>
        </w:rPr>
      </w:pPr>
    </w:p>
    <w:p>
      <w:pPr>
        <w:ind w:left="620" w:hanging="385"/>
        <w:spacing w:after="0" w:line="262" w:lineRule="auto"/>
        <w:tabs>
          <w:tab w:leader="none" w:pos="56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2022, our Board authorized a stock repurchase program for the purchase of up to $40 million of the Company’s common stock from time to time. Subsequent to June 30, 2024, we repurchased an additional 119,041 shares in open market transactions at an average price of $139.84, which fully utilized the amount remaining under the previous $40 million authorization. On July 31, 2024, the Board authorized a new $200 million stock repurchase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June 30, 2024, none of the Company's directors or officers adopted, modified or terminated a “Rule 10b5-1 trading arrangement” or a “non-Rule 10b5-1 trading arrangement” as each term is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63">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63">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64">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64">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66">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2016).</w:t>
        </w:r>
      </w:hyperlink>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9"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August 2, 2024.</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40</w:t>
            </w:r>
          </w:p>
        </w:tc>
      </w:tr>
    </w:tbl>
    <w:p>
      <w:pPr>
        <w:sectPr>
          <w:pgSz w:w="11900" w:h="16838" w:orient="portrait"/>
          <w:cols w:equalWidth="0" w:num="1">
            <w:col w:w="11240"/>
          </w:cols>
          <w:pgMar w:left="320" w:top="42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2, 2024</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2, 2024</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June 30, 2024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June 30, 2024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4"/>
    </w:lvl>
  </w:abstractNum>
  <w:abstractNum w:abstractNumId="7">
    <w:nsid w:val="519B500D"/>
    <w:multiLevelType w:val="hybridMultilevel"/>
    <w:lvl w:ilvl="0">
      <w:lvlJc w:val="left"/>
      <w:lvlText w:val="&amp;"/>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7">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8">
    <w:nsid w:val="2D1D5AE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lvl w:ilvl="1">
      <w:lvlJc w:val="left"/>
      <w:lvlText w:val="(%2)"/>
      <w:numFmt w:val="lowerLetter"/>
      <w:start w:val="2"/>
    </w:lvl>
  </w:abstractNum>
  <w:abstractNum w:abstractNumId="21">
    <w:nsid w:val="8EDBDAB"/>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2">
    <w:nsid w:val="79838CB2"/>
    <w:multiLevelType w:val="hybridMultilevel"/>
    <w:lvl w:ilvl="0">
      <w:lvlJc w:val="left"/>
      <w:lvlText w:val="(%1)"/>
      <w:numFmt w:val="lowerLetter"/>
      <w:start w:val="3"/>
    </w:lvl>
    <w:lvl w:ilvl="1">
      <w:lvlJc w:val="left"/>
      <w:lvlText w:val="(%2)"/>
      <w:numFmt w:val="lowerLetter"/>
      <w:start w:val="4"/>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lvl w:ilvl="1">
      <w:lvlJc w:val="left"/>
      <w:lvlText w:val="(%2)"/>
      <w:numFmt w:val="lowerLetter"/>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63" Type="http://schemas.openxmlformats.org/officeDocument/2006/relationships/hyperlink" Target="https://www.sec.gov/Archives/edgar/data/1048268/000119312516674386/d211495dex31.htm" TargetMode="External"/><Relationship Id="rId64" Type="http://schemas.openxmlformats.org/officeDocument/2006/relationships/hyperlink" Target="https://www.sec.gov/Archives/edgar/data/1048268/000104826821000065/amendedandrestatedbylawsof.htm" TargetMode="External"/><Relationship Id="rId66" Type="http://schemas.openxmlformats.org/officeDocument/2006/relationships/hyperlink" Target="https://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2024-08-02T06:53:59Z</dcterms:created>
  <dcterms:modified xsi:type="dcterms:W3CDTF">2024-08-02T06:53:59Z</dcterms:modified>
</cp:coreProperties>
</file>