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28575</wp:posOffset>
            </wp:positionV>
            <wp:extent cx="2267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2441575</wp:posOffset>
            </wp:positionH>
            <wp:positionV relativeFrom="paragraph">
              <wp:posOffset>15875</wp:posOffset>
            </wp:positionV>
            <wp:extent cx="2267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4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42"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9" w:lineRule="exact"/>
        <w:rPr>
          <w:rFonts w:ascii="MS PGothic" w:cs="MS PGothic" w:eastAsia="MS PGothic" w:hAnsi="MS PGothic"/>
          <w:sz w:val="19"/>
          <w:szCs w:val="19"/>
          <w:color w:val="auto"/>
        </w:rPr>
      </w:pPr>
    </w:p>
    <w:p>
      <w:pPr>
        <w:ind w:left="430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For the quarterly period ended December 31, 2024</w:t>
      </w:r>
    </w:p>
    <w:p>
      <w:pPr>
        <w:spacing w:after="0" w:line="13" w:lineRule="exact"/>
        <w:rPr>
          <w:rFonts w:ascii="MS PGothic" w:cs="MS PGothic" w:eastAsia="MS PGothic" w:hAnsi="MS PGothic"/>
          <w:sz w:val="19"/>
          <w:szCs w:val="19"/>
          <w:color w:val="auto"/>
        </w:rPr>
      </w:pPr>
    </w:p>
    <w:p>
      <w:pPr>
        <w:ind w:left="5640"/>
        <w:spacing w:after="0"/>
        <w:rPr>
          <w:rFonts w:ascii="MS PGothic" w:cs="MS PGothic" w:eastAsia="MS PGothic" w:hAnsi="MS PGothic"/>
          <w:sz w:val="19"/>
          <w:szCs w:val="19"/>
          <w:color w:val="auto"/>
        </w:rPr>
      </w:pPr>
      <w:r>
        <w:rPr>
          <w:rFonts w:ascii="Times New Roman" w:cs="Times New Roman" w:eastAsia="Times New Roman" w:hAnsi="Times New Roman"/>
          <w:sz w:val="15"/>
          <w:szCs w:val="15"/>
          <w:b w:val="1"/>
          <w:bCs w:val="1"/>
          <w:color w:val="auto"/>
        </w:rPr>
        <w:t>OR</w:t>
      </w:r>
    </w:p>
    <w:p>
      <w:pPr>
        <w:spacing w:after="0" w:line="31" w:lineRule="exact"/>
        <w:rPr>
          <w:sz w:val="24"/>
          <w:szCs w:val="24"/>
          <w:color w:val="auto"/>
        </w:rPr>
      </w:pPr>
    </w:p>
    <w:p>
      <w:pPr>
        <w:ind w:left="280" w:hanging="232"/>
        <w:spacing w:after="0"/>
        <w:tabs>
          <w:tab w:leader="none" w:pos="28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8" w:lineRule="exact"/>
        <w:rPr>
          <w:sz w:val="24"/>
          <w:szCs w:val="24"/>
          <w:color w:val="auto"/>
        </w:rPr>
      </w:pPr>
    </w:p>
    <w:p>
      <w:pPr>
        <w:ind w:left="3720"/>
        <w:spacing w:after="0"/>
        <w:tabs>
          <w:tab w:leader="none" w:pos="656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3661410</wp:posOffset>
            </wp:positionH>
            <wp:positionV relativeFrom="paragraph">
              <wp:posOffset>-635</wp:posOffset>
            </wp:positionV>
            <wp:extent cx="111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32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Commission file number 001-13783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2408555</wp:posOffset>
            </wp:positionH>
            <wp:positionV relativeFrom="paragraph">
              <wp:posOffset>23495</wp:posOffset>
            </wp:positionV>
            <wp:extent cx="2324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121920</wp:posOffset>
            </wp:positionV>
            <wp:extent cx="1064260" cy="53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4260" cy="532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IES Holdings,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2212340</wp:posOffset>
            </wp:positionH>
            <wp:positionV relativeFrom="paragraph">
              <wp:posOffset>25400</wp:posOffset>
            </wp:positionV>
            <wp:extent cx="2726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2700"/>
        <w:spacing w:after="0"/>
        <w:tabs>
          <w:tab w:leader="none" w:pos="7820" w:val="left"/>
        </w:tabs>
        <w:rPr>
          <w:sz w:val="20"/>
          <w:szCs w:val="20"/>
          <w:color w:val="auto"/>
        </w:rPr>
      </w:pPr>
      <w:r>
        <w:rPr>
          <w:rFonts w:ascii="Times New Roman" w:cs="Times New Roman" w:eastAsia="Times New Roman" w:hAnsi="Times New Roman"/>
          <w:sz w:val="15"/>
          <w:szCs w:val="15"/>
          <w:b w:val="1"/>
          <w:bCs w:val="1"/>
          <w:color w:val="auto"/>
        </w:rPr>
        <w:t>Delaware</w:t>
      </w:r>
      <w:r>
        <w:rPr>
          <w:sz w:val="20"/>
          <w:szCs w:val="20"/>
          <w:color w:val="auto"/>
        </w:rPr>
        <w:tab/>
      </w:r>
      <w:r>
        <w:rPr>
          <w:rFonts w:ascii="Times New Roman" w:cs="Times New Roman" w:eastAsia="Times New Roman" w:hAnsi="Times New Roman"/>
          <w:sz w:val="15"/>
          <w:szCs w:val="15"/>
          <w:b w:val="1"/>
          <w:bCs w:val="1"/>
          <w:color w:val="auto"/>
        </w:rPr>
        <w:t>76-0542208</w:t>
      </w:r>
    </w:p>
    <w:p>
      <w:pPr>
        <w:spacing w:after="0" w:line="31" w:lineRule="exact"/>
        <w:rPr>
          <w:sz w:val="24"/>
          <w:szCs w:val="24"/>
          <w:color w:val="auto"/>
        </w:rPr>
      </w:pPr>
    </w:p>
    <w:p>
      <w:pPr>
        <w:ind w:left="2160"/>
        <w:spacing w:after="0"/>
        <w:tabs>
          <w:tab w:leader="none" w:pos="77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3"/>
          <w:szCs w:val="13"/>
          <w:b w:val="1"/>
          <w:bCs w:val="1"/>
          <w:color w:val="auto"/>
        </w:rPr>
        <w:t>(I.R.S. Employer</w:t>
      </w:r>
    </w:p>
    <w:p>
      <w:pPr>
        <w:spacing w:after="0" w:line="26" w:lineRule="exact"/>
        <w:rPr>
          <w:sz w:val="24"/>
          <w:szCs w:val="24"/>
          <w:color w:val="auto"/>
        </w:rPr>
      </w:pPr>
    </w:p>
    <w:p>
      <w:pPr>
        <w:ind w:left="2120"/>
        <w:spacing w:after="0"/>
        <w:tabs>
          <w:tab w:leader="none" w:pos="76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3"/>
          <w:szCs w:val="13"/>
          <w:b w:val="1"/>
          <w:bCs w:val="1"/>
          <w:color w:val="auto"/>
        </w:rPr>
        <w:t>Identification No.)</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 Riverway, Suite 1730, Houston, Texas 77056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(713) 860-1500</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45" w:lineRule="exact"/>
        <w:rPr>
          <w:sz w:val="24"/>
          <w:szCs w:val="24"/>
          <w:color w:val="auto"/>
        </w:rPr>
      </w:pPr>
    </w:p>
    <w:tbl>
      <w:tblPr>
        <w:tblLayout w:type="fixed"/>
        <w:tblInd w:w="580" w:type="dxa"/>
        <w:tblCellMar>
          <w:top w:w="0" w:type="dxa"/>
          <w:left w:w="0" w:type="dxa"/>
          <w:bottom w:w="0" w:type="dxa"/>
          <w:right w:w="0" w:type="dxa"/>
        </w:tblCellMar>
      </w:tblPr>
      <w:tr>
        <w:trPr>
          <w:trHeight w:val="172"/>
        </w:trPr>
        <w:tc>
          <w:tcPr>
            <w:tcW w:w="446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80" w:type="dxa"/>
            <w:vAlign w:val="bottom"/>
            <w:vMerge w:val="restart"/>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Trading</w:t>
            </w:r>
          </w:p>
        </w:tc>
        <w:tc>
          <w:tcPr>
            <w:tcW w:w="42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5"/>
        </w:trPr>
        <w:tc>
          <w:tcPr>
            <w:tcW w:w="4460" w:type="dxa"/>
            <w:vAlign w:val="bottom"/>
            <w:tcBorders>
              <w:bottom w:val="single" w:sz="8" w:color="auto"/>
            </w:tcBorders>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Symbol</w:t>
            </w:r>
          </w:p>
        </w:tc>
        <w:tc>
          <w:tcPr>
            <w:tcW w:w="260" w:type="dxa"/>
            <w:vAlign w:val="bottom"/>
          </w:tcPr>
          <w:p>
            <w:pPr>
              <w:spacing w:after="0"/>
              <w:rPr>
                <w:sz w:val="17"/>
                <w:szCs w:val="17"/>
                <w:color w:val="auto"/>
              </w:rPr>
            </w:pPr>
          </w:p>
        </w:tc>
        <w:tc>
          <w:tcPr>
            <w:tcW w:w="42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40" w:type="dxa"/>
            <w:vAlign w:val="bottom"/>
            <w:gridSpan w:val="3"/>
          </w:tcPr>
          <w:p>
            <w:pPr>
              <w:ind w:left="760"/>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IESC</w:t>
            </w:r>
          </w:p>
        </w:tc>
        <w:tc>
          <w:tcPr>
            <w:tcW w:w="86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NASDAQ Global Market</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04" w:lineRule="exact"/>
        <w:rPr>
          <w:sz w:val="24"/>
          <w:szCs w:val="24"/>
          <w:color w:val="auto"/>
        </w:rPr>
      </w:pPr>
    </w:p>
    <w:p>
      <w:pPr>
        <w:spacing w:after="0" w:line="19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2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spacing w:after="0"/>
              <w:rPr>
                <w:sz w:val="22"/>
                <w:szCs w:val="22"/>
                <w:color w:val="auto"/>
              </w:rPr>
            </w:pPr>
          </w:p>
        </w:tc>
        <w:tc>
          <w:tcPr>
            <w:tcW w:w="560" w:type="dxa"/>
            <w:vAlign w:val="bottom"/>
          </w:tcPr>
          <w:p>
            <w:pPr>
              <w:spacing w:after="0"/>
              <w:rPr>
                <w:sz w:val="22"/>
                <w:szCs w:val="22"/>
                <w:color w:val="auto"/>
              </w:rPr>
            </w:pPr>
          </w:p>
        </w:tc>
      </w:tr>
    </w:tbl>
    <w:p>
      <w:pPr>
        <w:spacing w:after="0" w:line="150" w:lineRule="exact"/>
        <w:rPr>
          <w:sz w:val="24"/>
          <w:szCs w:val="24"/>
          <w:color w:val="auto"/>
        </w:rPr>
      </w:pPr>
    </w:p>
    <w:p>
      <w:pPr>
        <w:ind w:right="480"/>
        <w:spacing w:after="0" w:line="20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4" w:lineRule="exact"/>
        <w:rPr>
          <w:sz w:val="24"/>
          <w:szCs w:val="24"/>
          <w:color w:val="auto"/>
        </w:rPr>
      </w:pPr>
    </w:p>
    <w:p>
      <w:pPr>
        <w:ind w:right="3120"/>
        <w:spacing w:after="0" w:line="26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On January 31, 2025, there were 20,006,630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0" w:type="dxa"/>
            <w:vAlign w:val="bottom"/>
          </w:tcPr>
          <w:p>
            <w:pPr>
              <w:spacing w:after="0"/>
              <w:rPr>
                <w:sz w:val="19"/>
                <w:szCs w:val="19"/>
                <w:color w:val="auto"/>
              </w:rPr>
            </w:pPr>
          </w:p>
        </w:tc>
        <w:tc>
          <w:tcPr>
            <w:tcW w:w="9920" w:type="dxa"/>
            <w:vAlign w:val="bottom"/>
            <w:gridSpan w:val="21"/>
            <w:vMerge w:val="restart"/>
          </w:tcPr>
          <w:p>
            <w:pPr>
              <w:spacing w:after="0"/>
              <w:rPr>
                <w:sz w:val="20"/>
                <w:szCs w:val="20"/>
                <w:color w:val="auto"/>
              </w:rPr>
            </w:pPr>
            <w:r>
              <w:rPr>
                <w:rFonts w:ascii="Times New Roman" w:cs="Times New Roman" w:eastAsia="Times New Roman" w:hAnsi="Times New Roman"/>
                <w:sz w:val="17"/>
                <w:szCs w:val="17"/>
                <w:color w:val="0000FF"/>
              </w:rPr>
              <w:t>PART I. FINANCIAL INFORMATION</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9920" w:type="dxa"/>
            <w:vAlign w:val="bottom"/>
            <w:gridSpan w:val="21"/>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9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460" w:type="dxa"/>
            <w:vAlign w:val="bottom"/>
            <w:tcBorders>
              <w:top w:val="single" w:sz="8" w:color="0000FF"/>
            </w:tcBorders>
            <w:gridSpan w:val="2"/>
          </w:tcPr>
          <w:p>
            <w:pPr>
              <w:spacing w:after="0"/>
              <w:rPr>
                <w:sz w:val="17"/>
                <w:szCs w:val="17"/>
                <w:color w:val="auto"/>
              </w:rPr>
            </w:pPr>
          </w:p>
        </w:tc>
        <w:tc>
          <w:tcPr>
            <w:tcW w:w="718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December 31, 2024 and September 30, 2024</w:t>
            </w:r>
          </w:p>
        </w:tc>
        <w:tc>
          <w:tcPr>
            <w:tcW w:w="2980" w:type="dxa"/>
            <w:vAlign w:val="bottom"/>
            <w:gridSpan w:val="5"/>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Months Ended December 31, 2024 and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Months Ended December 31, 2024 and 2023</w:t>
            </w:r>
          </w:p>
        </w:tc>
        <w:tc>
          <w:tcPr>
            <w:tcW w:w="8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Three Months Ended December 31, 2024 and 2023</w:t>
            </w:r>
          </w:p>
        </w:tc>
        <w:tc>
          <w:tcPr>
            <w:tcW w:w="640" w:type="dxa"/>
            <w:vAlign w:val="bottom"/>
            <w:tcBorders>
              <w:top w:val="single" w:sz="8" w:color="0000FF"/>
              <w:bottom w:val="single" w:sz="8" w:color="0000FF"/>
            </w:tcBorders>
          </w:tcPr>
          <w:p>
            <w:pPr>
              <w:spacing w:after="0"/>
              <w:rPr>
                <w:sz w:val="18"/>
                <w:szCs w:val="18"/>
                <w:color w:val="auto"/>
              </w:rPr>
            </w:pPr>
          </w:p>
        </w:tc>
        <w:tc>
          <w:tcPr>
            <w:tcW w:w="1020" w:type="dxa"/>
            <w:vAlign w:val="bottom"/>
            <w:gridSpan w:val="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2920" w:type="dxa"/>
            <w:vAlign w:val="bottom"/>
            <w:gridSpan w:val="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4920" w:type="dxa"/>
            <w:vAlign w:val="bottom"/>
            <w:gridSpan w:val="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25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740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7820" w:type="dxa"/>
            <w:vAlign w:val="bottom"/>
            <w:gridSpan w:val="13"/>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1920" w:type="dxa"/>
            <w:vAlign w:val="bottom"/>
            <w:tcBorders>
              <w:top w:val="single" w:sz="8" w:color="0000FF"/>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7400" w:type="dxa"/>
            <w:vAlign w:val="bottom"/>
            <w:gridSpan w:val="11"/>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7840" w:type="dxa"/>
            <w:vAlign w:val="bottom"/>
            <w:gridSpan w:val="14"/>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8520" w:type="dxa"/>
            <w:vAlign w:val="bottom"/>
            <w:gridSpan w:val="16"/>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1"/>
        </w:trPr>
        <w:tc>
          <w:tcPr>
            <w:tcW w:w="480" w:type="dxa"/>
            <w:vAlign w:val="bottom"/>
            <w:gridSpan w:val="2"/>
          </w:tcPr>
          <w:p>
            <w:pPr>
              <w:spacing w:after="0"/>
              <w:rPr>
                <w:sz w:val="24"/>
                <w:szCs w:val="24"/>
                <w:color w:val="auto"/>
              </w:rPr>
            </w:pPr>
          </w:p>
        </w:tc>
        <w:tc>
          <w:tcPr>
            <w:tcW w:w="720" w:type="dxa"/>
            <w:vAlign w:val="bottom"/>
            <w:tcBorders>
              <w:top w:val="single" w:sz="8" w:color="0000FF"/>
            </w:tcBorders>
            <w:gridSpan w:val="3"/>
          </w:tcPr>
          <w:p>
            <w:pPr>
              <w:spacing w:after="0"/>
              <w:rPr>
                <w:sz w:val="24"/>
                <w:szCs w:val="24"/>
                <w:color w:val="auto"/>
              </w:rPr>
            </w:pPr>
          </w:p>
        </w:tc>
        <w:tc>
          <w:tcPr>
            <w:tcW w:w="5920" w:type="dxa"/>
            <w:vAlign w:val="bottom"/>
            <w:gridSpan w:val="12"/>
          </w:tcPr>
          <w:p>
            <w:pPr>
              <w:jc w:val="right"/>
              <w:ind w:right="1460"/>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351155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PART I. FINANCIAL INFORMATION</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this Quarterly Report on Form 10-Q, the words “IES”, the “Company”, the “Registrant”, “we”, “our”, “ours” and “us” refer to IES Holdings, Inc. and, except as otherwise specified herein, to our subsidiaries.</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DISCLOSURE REGARDING FORWARD-LOOKING STATEMENTS</w:t>
      </w:r>
    </w:p>
    <w:p>
      <w:pPr>
        <w:spacing w:after="0" w:line="24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86" w:lineRule="exact"/>
        <w:rPr>
          <w:sz w:val="20"/>
          <w:szCs w:val="20"/>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reduction in the demand for our products or services;</w:t>
      </w:r>
    </w:p>
    <w:p>
      <w:pPr>
        <w:spacing w:after="0" w:line="204" w:lineRule="exact"/>
        <w:rPr>
          <w:rFonts w:ascii="Times New Roman" w:cs="Times New Roman" w:eastAsia="Times New Roman" w:hAnsi="Times New Roman"/>
          <w:sz w:val="17"/>
          <w:szCs w:val="17"/>
          <w:color w:val="auto"/>
        </w:rPr>
      </w:pPr>
    </w:p>
    <w:p>
      <w:pPr>
        <w:ind w:left="620" w:right="20" w:hanging="462"/>
        <w:spacing w:after="0" w:line="23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including supply chain constraints, high rates of inflation, tariffs, changes in consumer sentiment, elevated interest rates, and market disruptions resulting from a number of factors, including geo-political events such as the Ukraine-Russia war, the conflict in the Middle East, and trade tensions between the U.S. and China;</w:t>
      </w:r>
    </w:p>
    <w:p>
      <w:pPr>
        <w:spacing w:after="0" w:line="189" w:lineRule="exact"/>
        <w:rPr>
          <w:rFonts w:ascii="Times New Roman" w:cs="Times New Roman" w:eastAsia="Times New Roman" w:hAnsi="Times New Roman"/>
          <w:sz w:val="17"/>
          <w:szCs w:val="17"/>
          <w:color w:val="auto"/>
        </w:rPr>
      </w:pPr>
    </w:p>
    <w:p>
      <w:pPr>
        <w:ind w:left="620" w:right="80" w:hanging="462"/>
        <w:spacing w:after="0" w:line="23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industries in which we operate, both from third parties and former employees, which could result in the loss of one or more customers or lead to lower margins on new projects;</w:t>
      </w:r>
    </w:p>
    <w:p>
      <w:pPr>
        <w:spacing w:after="0" w:line="190" w:lineRule="exact"/>
        <w:rPr>
          <w:rFonts w:ascii="Times New Roman" w:cs="Times New Roman" w:eastAsia="Times New Roman" w:hAnsi="Times New Roman"/>
          <w:sz w:val="17"/>
          <w:szCs w:val="17"/>
          <w:color w:val="auto"/>
        </w:rPr>
      </w:pPr>
    </w:p>
    <w:p>
      <w:pPr>
        <w:jc w:val="both"/>
        <w:ind w:left="620" w:right="40" w:hanging="462"/>
        <w:spacing w:after="0" w:line="23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and execute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w:t>
      </w:r>
    </w:p>
    <w:p>
      <w:pPr>
        <w:spacing w:after="0" w:line="191"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and the terms of, future contracts;</w:t>
      </w:r>
    </w:p>
    <w:p>
      <w:pPr>
        <w:spacing w:after="0" w:line="21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small number of customers from whom we derive a meaningful portion of our revenues;</w:t>
      </w:r>
    </w:p>
    <w:p>
      <w:pPr>
        <w:spacing w:after="0" w:line="21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third parties, including subcontractors and suppliers, to complete our projects;</w:t>
      </w:r>
    </w:p>
    <w:p>
      <w:pPr>
        <w:spacing w:after="0" w:line="204" w:lineRule="exact"/>
        <w:rPr>
          <w:rFonts w:ascii="Times New Roman" w:cs="Times New Roman" w:eastAsia="Times New Roman" w:hAnsi="Times New Roman"/>
          <w:sz w:val="17"/>
          <w:szCs w:val="17"/>
          <w:color w:val="auto"/>
        </w:rPr>
      </w:pPr>
    </w:p>
    <w:p>
      <w:pPr>
        <w:ind w:left="620" w:right="60" w:hanging="462"/>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carry out plans and strategies as expected, including the inability to identify and complete acquisitions that meet our investment criteria in furtherance of our corporate strategy, or the subsequent underperformance of those acquisitions;</w:t>
      </w:r>
    </w:p>
    <w:p>
      <w:pPr>
        <w:spacing w:after="0" w:line="17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integrating new businesses into the Company or new types of work, products or processes into our segments;</w:t>
      </w:r>
    </w:p>
    <w:p>
      <w:pPr>
        <w:spacing w:after="0" w:line="204"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backlog that may not be realized or may not result in profits;</w:t>
      </w:r>
    </w:p>
    <w:p>
      <w:pPr>
        <w:spacing w:after="0" w:line="21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adequately recover on contract change orders or claims against customers;</w:t>
      </w:r>
    </w:p>
    <w:p>
      <w:pPr>
        <w:spacing w:after="0" w:line="217" w:lineRule="exact"/>
        <w:rPr>
          <w:rFonts w:ascii="Times New Roman" w:cs="Times New Roman" w:eastAsia="Times New Roman" w:hAnsi="Times New Roman"/>
          <w:sz w:val="17"/>
          <w:szCs w:val="17"/>
          <w:color w:val="auto"/>
        </w:rPr>
      </w:pPr>
    </w:p>
    <w:p>
      <w:pPr>
        <w:ind w:left="620" w:right="60" w:hanging="462"/>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closures or sales of our facilities resulting in significant future charges, including potential warranty losses or other unexpected liabilities, or a significant disruption of our operations;</w:t>
      </w:r>
    </w:p>
    <w:p>
      <w:pPr>
        <w:spacing w:after="0" w:line="164" w:lineRule="exact"/>
        <w:rPr>
          <w:rFonts w:ascii="Times New Roman" w:cs="Times New Roman" w:eastAsia="Times New Roman" w:hAnsi="Times New Roman"/>
          <w:sz w:val="17"/>
          <w:szCs w:val="17"/>
          <w:color w:val="auto"/>
        </w:rPr>
      </w:pPr>
    </w:p>
    <w:p>
      <w:pPr>
        <w:jc w:val="both"/>
        <w:ind w:left="620" w:right="300" w:hanging="462"/>
        <w:spacing w:after="0" w:line="23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or illness of management or other employees;</w:t>
      </w:r>
    </w:p>
    <w:p>
      <w:pPr>
        <w:spacing w:after="0" w:line="176" w:lineRule="exact"/>
        <w:rPr>
          <w:rFonts w:ascii="Times New Roman" w:cs="Times New Roman" w:eastAsia="Times New Roman" w:hAnsi="Times New Roman"/>
          <w:sz w:val="17"/>
          <w:szCs w:val="17"/>
          <w:color w:val="auto"/>
        </w:rPr>
      </w:pPr>
    </w:p>
    <w:p>
      <w:pPr>
        <w:ind w:left="620" w:right="420" w:hanging="462"/>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increased cost of surety bonds affecting margins on work and the potential for our surety providers to refuse bonding or require collateral at their discretion;</w:t>
      </w:r>
    </w:p>
    <w:p>
      <w:pPr>
        <w:spacing w:after="0" w:line="17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seasonality, adverse weather conditions, and climate change;</w:t>
      </w:r>
    </w:p>
    <w:p>
      <w:pPr>
        <w:spacing w:after="0" w:line="217" w:lineRule="exact"/>
        <w:rPr>
          <w:rFonts w:ascii="Times New Roman" w:cs="Times New Roman" w:eastAsia="Times New Roman" w:hAnsi="Times New Roman"/>
          <w:sz w:val="17"/>
          <w:szCs w:val="17"/>
          <w:color w:val="auto"/>
        </w:rPr>
      </w:pPr>
    </w:p>
    <w:p>
      <w:pPr>
        <w:ind w:left="620" w:right="440" w:hanging="462"/>
        <w:spacing w:after="0" w:line="239"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operating activity due to factors such as cyclicality, downturns in levels of construction or the housing market, and differing regional economic conditions;</w:t>
      </w:r>
    </w:p>
    <w:p>
      <w:pPr>
        <w:spacing w:after="0" w:line="190"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managing our billings and collections;</w:t>
      </w:r>
    </w:p>
    <w:p>
      <w:pPr>
        <w:spacing w:after="0" w:line="21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accidents resulting from the physical hazards associated with our work and the potential for accidents;</w:t>
      </w:r>
    </w:p>
    <w:p>
      <w:pPr>
        <w:sectPr>
          <w:pgSz w:w="11900" w:h="16838" w:orient="portrait"/>
          <w:cols w:equalWidth="0" w:num="1">
            <w:col w:w="11200"/>
          </w:cols>
          <w:pgMar w:left="320" w:top="64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type w:val="continuous"/>
        </w:sectPr>
      </w:pPr>
    </w:p>
    <w:bookmarkStart w:id="3" w:name="page4"/>
    <w:bookmarkEnd w:id="3"/>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current insurance coverage may not be adequate or that we may not be able to obtain policies at acceptable rates;</w:t>
      </w:r>
    </w:p>
    <w:p>
      <w:pPr>
        <w:spacing w:after="0" w:line="217" w:lineRule="exact"/>
        <w:rPr>
          <w:rFonts w:ascii="Times New Roman" w:cs="Times New Roman" w:eastAsia="Times New Roman" w:hAnsi="Times New Roman"/>
          <w:sz w:val="17"/>
          <w:szCs w:val="17"/>
          <w:color w:val="auto"/>
        </w:rPr>
      </w:pPr>
    </w:p>
    <w:p>
      <w:pPr>
        <w:ind w:left="620" w:right="220" w:hanging="462"/>
        <w:spacing w:after="0" w:line="239"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litigation, claims and contingencies, including warranty losses, damages or other latent defect claims in excess of our existing reserves and accruals;</w:t>
      </w:r>
    </w:p>
    <w:p>
      <w:pPr>
        <w:spacing w:after="0" w:line="190" w:lineRule="exact"/>
        <w:rPr>
          <w:rFonts w:ascii="Times New Roman" w:cs="Times New Roman" w:eastAsia="Times New Roman" w:hAnsi="Times New Roman"/>
          <w:sz w:val="17"/>
          <w:szCs w:val="17"/>
          <w:color w:val="auto"/>
        </w:rPr>
      </w:pPr>
    </w:p>
    <w:p>
      <w:pPr>
        <w:ind w:left="620" w:right="26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liabilities under existing or potential future laws and regulations, including those laws and regulations related to the environment and climate change, as well as the inability to transfer, renew and obtain electrical and other professional licenses;</w:t>
      </w:r>
    </w:p>
    <w:p>
      <w:pPr>
        <w:spacing w:after="0" w:line="17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to our information systems and cybersecurity or data breaches;</w:t>
      </w:r>
    </w:p>
    <w:p>
      <w:pPr>
        <w:spacing w:after="0" w:line="204"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to conduct environmental remediation activities required by certain environmental laws and regulations;</w:t>
      </w:r>
    </w:p>
    <w:p>
      <w:pPr>
        <w:spacing w:after="0" w:line="21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ineffective transition of new management, or general labor constraints;</w:t>
      </w:r>
    </w:p>
    <w:p>
      <w:pPr>
        <w:spacing w:after="0" w:line="217" w:lineRule="exact"/>
        <w:rPr>
          <w:rFonts w:ascii="Times New Roman" w:cs="Times New Roman" w:eastAsia="Times New Roman" w:hAnsi="Times New Roman"/>
          <w:sz w:val="17"/>
          <w:szCs w:val="17"/>
          <w:color w:val="auto"/>
        </w:rPr>
      </w:pPr>
    </w:p>
    <w:p>
      <w:pPr>
        <w:ind w:left="620" w:right="220" w:hanging="462"/>
        <w:spacing w:after="0" w:line="239"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and capital market conditions, including changes in interest rates that affect the cost of construction financing and mortgages, and the inability of some of our customers to obtain sufficient financing at acceptable rates, which could lead to project delays or cancellations;</w:t>
      </w:r>
    </w:p>
    <w:p>
      <w:pPr>
        <w:spacing w:after="0" w:line="190" w:lineRule="exact"/>
        <w:rPr>
          <w:rFonts w:ascii="Times New Roman" w:cs="Times New Roman" w:eastAsia="Times New Roman" w:hAnsi="Times New Roman"/>
          <w:sz w:val="17"/>
          <w:szCs w:val="17"/>
          <w:color w:val="auto"/>
        </w:rPr>
      </w:pPr>
    </w:p>
    <w:p>
      <w:pPr>
        <w:ind w:left="620" w:right="48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our ability to access capital markets and generate cash from operations to fund our working capital needs and capital expenditures, to complete acquisitions, and for debt service;</w:t>
      </w:r>
    </w:p>
    <w:p>
      <w:pPr>
        <w:spacing w:after="0" w:line="17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our effective tax rate or cash paid for taxes from changes in tax positions we have taken or changes in tax laws;</w:t>
      </w:r>
    </w:p>
    <w:p>
      <w:pPr>
        <w:spacing w:after="0" w:line="204" w:lineRule="exact"/>
        <w:rPr>
          <w:rFonts w:ascii="Times New Roman" w:cs="Times New Roman" w:eastAsia="Times New Roman" w:hAnsi="Times New Roman"/>
          <w:sz w:val="17"/>
          <w:szCs w:val="17"/>
          <w:color w:val="auto"/>
        </w:rPr>
      </w:pPr>
    </w:p>
    <w:p>
      <w:pPr>
        <w:ind w:left="620" w:right="16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fulfilling the covenant terms of our revolving credit facility, which could result in a default and acceleration of any indebtedness under such revolving credit facility;</w:t>
      </w:r>
    </w:p>
    <w:p>
      <w:pPr>
        <w:spacing w:after="0" w:line="17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certain estimates and assumptions that may differ from actual results in the preparation of our financial statements;</w:t>
      </w:r>
    </w:p>
    <w:p>
      <w:pPr>
        <w:spacing w:after="0" w:line="217" w:lineRule="exact"/>
        <w:rPr>
          <w:rFonts w:ascii="Times New Roman" w:cs="Times New Roman" w:eastAsia="Times New Roman" w:hAnsi="Times New Roman"/>
          <w:sz w:val="17"/>
          <w:szCs w:val="17"/>
          <w:color w:val="auto"/>
        </w:rPr>
      </w:pPr>
    </w:p>
    <w:p>
      <w:pPr>
        <w:ind w:left="620" w:right="560" w:hanging="462"/>
        <w:spacing w:after="0" w:line="239"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inherent in the use of percentage-of-completion accounting, which could result in the reduction or elimination of previously recorded revenues and profits;</w:t>
      </w:r>
    </w:p>
    <w:p>
      <w:pPr>
        <w:spacing w:after="0" w:line="190"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potential goodwill, long-lived assets and other investment impairments;</w:t>
      </w:r>
    </w:p>
    <w:p>
      <w:pPr>
        <w:spacing w:after="0" w:line="217" w:lineRule="exact"/>
        <w:rPr>
          <w:rFonts w:ascii="Times New Roman" w:cs="Times New Roman" w:eastAsia="Times New Roman" w:hAnsi="Times New Roman"/>
          <w:sz w:val="17"/>
          <w:szCs w:val="17"/>
          <w:color w:val="auto"/>
        </w:rPr>
      </w:pPr>
    </w:p>
    <w:p>
      <w:pPr>
        <w:jc w:val="both"/>
        <w:ind w:left="620" w:right="40" w:hanging="462"/>
        <w:spacing w:after="0" w:line="23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controlling shareholder, who has the ability to take action not aligned with other shareholders or to dispose of all or a significant portion of the shares of our common stock it holds, which may trigger certain change of control provisions in a number of our material agreements, including our financing and surety arrangements and our executive severance plan;</w:t>
      </w:r>
    </w:p>
    <w:p>
      <w:pPr>
        <w:spacing w:after="0" w:line="191" w:lineRule="exact"/>
        <w:rPr>
          <w:rFonts w:ascii="Times New Roman" w:cs="Times New Roman" w:eastAsia="Times New Roman" w:hAnsi="Times New Roman"/>
          <w:sz w:val="17"/>
          <w:szCs w:val="17"/>
          <w:color w:val="auto"/>
        </w:rPr>
      </w:pPr>
    </w:p>
    <w:p>
      <w:pPr>
        <w:ind w:left="620" w:right="62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relatively low trading volume of our common stock, which could increase the volatility of our stock price and could make it more difficult for shareholders to sell a substantial number of shares for the same price at which shareholders could sell a smaller number of shares;</w:t>
      </w:r>
    </w:p>
    <w:p>
      <w:pPr>
        <w:spacing w:after="0" w:line="164" w:lineRule="exact"/>
        <w:rPr>
          <w:rFonts w:ascii="Times New Roman" w:cs="Times New Roman" w:eastAsia="Times New Roman" w:hAnsi="Times New Roman"/>
          <w:sz w:val="17"/>
          <w:szCs w:val="17"/>
          <w:color w:val="auto"/>
        </w:rPr>
      </w:pPr>
    </w:p>
    <w:p>
      <w:pPr>
        <w:ind w:left="620" w:right="8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issue additional shares of common stock, preferred stock or convertible securities that will dilute the percentage ownership interest of existing stockholders and may dilute the value per share of our common stock;</w:t>
      </w:r>
    </w:p>
    <w:p>
      <w:pPr>
        <w:spacing w:after="0" w:line="177" w:lineRule="exact"/>
        <w:rPr>
          <w:rFonts w:ascii="Times New Roman" w:cs="Times New Roman" w:eastAsia="Times New Roman" w:hAnsi="Times New Roman"/>
          <w:sz w:val="17"/>
          <w:szCs w:val="17"/>
          <w:color w:val="auto"/>
        </w:rPr>
      </w:pPr>
    </w:p>
    <w:p>
      <w:pPr>
        <w:ind w:left="620" w:hanging="46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substantial sales of our common stock, which could adversely affect our stock price;</w:t>
      </w:r>
    </w:p>
    <w:p>
      <w:pPr>
        <w:spacing w:after="0" w:line="204" w:lineRule="exact"/>
        <w:rPr>
          <w:rFonts w:ascii="Times New Roman" w:cs="Times New Roman" w:eastAsia="Times New Roman" w:hAnsi="Times New Roman"/>
          <w:sz w:val="17"/>
          <w:szCs w:val="17"/>
          <w:color w:val="auto"/>
        </w:rPr>
      </w:pPr>
    </w:p>
    <w:p>
      <w:pPr>
        <w:ind w:left="620" w:right="4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increasing scrutiny and changing expectations from investors and customers, or new or changing regulations, with respect to environmental, social and governance practices;</w:t>
      </w:r>
    </w:p>
    <w:p>
      <w:pPr>
        <w:spacing w:after="0" w:line="177" w:lineRule="exact"/>
        <w:rPr>
          <w:rFonts w:ascii="Times New Roman" w:cs="Times New Roman" w:eastAsia="Times New Roman" w:hAnsi="Times New Roman"/>
          <w:sz w:val="17"/>
          <w:szCs w:val="17"/>
          <w:color w:val="auto"/>
        </w:rPr>
      </w:pPr>
    </w:p>
    <w:p>
      <w:pPr>
        <w:ind w:left="620" w:right="16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or effort required for our shareholders to bring certain claims or actions against us, as a result of our designation of the Court of Chancery of the State of Delaware as the sole and exclusive forum for certain types of actions and proceedings;</w:t>
      </w:r>
    </w:p>
    <w:p>
      <w:pPr>
        <w:spacing w:after="0" w:line="164" w:lineRule="exact"/>
        <w:rPr>
          <w:rFonts w:ascii="Times New Roman" w:cs="Times New Roman" w:eastAsia="Times New Roman" w:hAnsi="Times New Roman"/>
          <w:sz w:val="17"/>
          <w:szCs w:val="17"/>
          <w:color w:val="auto"/>
        </w:rPr>
      </w:pPr>
    </w:p>
    <w:p>
      <w:pPr>
        <w:ind w:left="620" w:right="120" w:hanging="462"/>
        <w:spacing w:after="0" w:line="255"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internal controls over financial reporting and our disclosure controls and procedures may not prevent all possible errors that could occur; and</w:t>
      </w:r>
    </w:p>
    <w:p>
      <w:pPr>
        <w:spacing w:after="0" w:line="19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discussed elsewhere in this Quarterly Report on Form 10-Q.</w:t>
      </w:r>
    </w:p>
    <w:p>
      <w:pPr>
        <w:spacing w:after="0" w:line="2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You should understand that the foregoing, as well as other risk factors discussed in this document, including those listed in Part I, Item 1A of our Annual Report on Form 10-K for the fiscal year ended September 30, 2024, could cause future outcomes to differ materially from those experienced previously or those expressed in such forward-looking statements. We undertake no obligation to publicly update or revise any information, including information concerning our controlling shareholder,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jc w:val="center"/>
              <w:ind w:left="2894"/>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December 31,</w:t>
            </w:r>
          </w:p>
        </w:tc>
        <w:tc>
          <w:tcPr>
            <w:tcW w:w="160" w:type="dxa"/>
            <w:vAlign w:val="bottom"/>
          </w:tcPr>
          <w:p>
            <w:pPr>
              <w:spacing w:after="0"/>
              <w:rPr>
                <w:sz w:val="20"/>
                <w:szCs w:val="20"/>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September 30,</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9"/>
              </w:rPr>
              <w:t>2024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16"/>
        </w:trPr>
        <w:tc>
          <w:tcPr>
            <w:tcW w:w="8260" w:type="dxa"/>
            <w:vAlign w:val="bottom"/>
            <w:vMerge w:val="restart"/>
          </w:tcPr>
          <w:p>
            <w:pPr>
              <w:ind w:left="3760"/>
              <w:spacing w:after="0"/>
              <w:rPr>
                <w:sz w:val="20"/>
                <w:szCs w:val="20"/>
                <w:color w:val="auto"/>
              </w:rPr>
            </w:pPr>
            <w:r>
              <w:rPr>
                <w:rFonts w:ascii="Times New Roman" w:cs="Times New Roman" w:eastAsia="Times New Roman" w:hAnsi="Times New Roman"/>
                <w:sz w:val="17"/>
                <w:szCs w:val="17"/>
                <w:color w:val="auto"/>
              </w:rPr>
              <w:t>ASSETS</w:t>
            </w:r>
          </w:p>
        </w:tc>
        <w:tc>
          <w:tcPr>
            <w:tcW w:w="180" w:type="dxa"/>
            <w:vAlign w:val="bottom"/>
          </w:tcPr>
          <w:p>
            <w:pPr>
              <w:spacing w:after="0"/>
              <w:rPr>
                <w:sz w:val="18"/>
                <w:szCs w:val="18"/>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(Unaudited)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100,832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Marketable securities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35,003</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Accounts receivable:</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Trade, net of allowance of $1,970 and $1,818, respectively</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459,006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469,833</w:t>
            </w:r>
          </w:p>
        </w:tc>
        <w:tc>
          <w:tcPr>
            <w:tcW w:w="0" w:type="dxa"/>
            <w:vAlign w:val="bottom"/>
          </w:tcPr>
          <w:p>
            <w:pPr>
              <w:spacing w:after="0"/>
              <w:rPr>
                <w:sz w:val="1"/>
                <w:szCs w:val="1"/>
                <w:color w:val="auto"/>
              </w:rPr>
            </w:pPr>
          </w:p>
        </w:tc>
      </w:tr>
      <w:tr>
        <w:trPr>
          <w:trHeight w:val="219"/>
        </w:trPr>
        <w:tc>
          <w:tcPr>
            <w:tcW w:w="8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Retainage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89,793</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101,728</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60,139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14,366</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843,945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871,694</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134,197</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93,960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Intangible assets, net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45,890</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Investments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Deferred tax 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22,458</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right of use assets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61,956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13,871</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1,265,009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1,244,026</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260" w:type="dxa"/>
            <w:vAlign w:val="bottom"/>
            <w:shd w:val="clear" w:color="auto" w:fill="CCEEFF"/>
          </w:tcPr>
          <w:p>
            <w:pPr>
              <w:ind w:left="2300"/>
              <w:spacing w:after="0" w:line="185"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332,585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363,582</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170,393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158,972</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502,978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522,554</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Long-term debt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long-term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40,445</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tax liabilities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16,677</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12,241</w:t>
            </w:r>
          </w:p>
        </w:tc>
        <w:tc>
          <w:tcPr>
            <w:tcW w:w="0" w:type="dxa"/>
            <w:vAlign w:val="bottom"/>
          </w:tcPr>
          <w:p>
            <w:pPr>
              <w:spacing w:after="0"/>
              <w:rPr>
                <w:sz w:val="1"/>
                <w:szCs w:val="1"/>
                <w:color w:val="auto"/>
              </w:rPr>
            </w:pPr>
          </w:p>
        </w:tc>
      </w:tr>
      <w:tr>
        <w:trPr>
          <w:trHeight w:val="212"/>
        </w:trPr>
        <w:tc>
          <w:tcPr>
            <w:tcW w:w="8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572,632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591,917</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Noncontrolling interest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40,996</w:t>
            </w:r>
          </w:p>
        </w:tc>
        <w:tc>
          <w:tcPr>
            <w:tcW w:w="0" w:type="dxa"/>
            <w:vAlign w:val="bottom"/>
          </w:tcPr>
          <w:p>
            <w:pPr>
              <w:spacing w:after="0"/>
              <w:rPr>
                <w:sz w:val="1"/>
                <w:szCs w:val="1"/>
                <w:color w:val="auto"/>
              </w:rPr>
            </w:pPr>
          </w:p>
        </w:tc>
      </w:tr>
      <w:tr>
        <w:trPr>
          <w:trHeight w:val="219"/>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STOCKHOLDERS’ EQUITY:</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Preferred stock, $0.01 par value, 10,000,000 shares authorized, none issued</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and outstanding</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Common stock, $0.01 par value, 100,000,000 shares authorized; 22,049,529</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issued and 20,006,630 and 19,971,670 outstanding, respectively</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19"/>
        </w:trPr>
        <w:tc>
          <w:tcPr>
            <w:tcW w:w="82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Treasury stock, at cost, 2,042,899 and 2,077,859 shares, respectively</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(90,325)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203,458</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552,919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497,760</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652,439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611,113</w:t>
            </w:r>
          </w:p>
        </w:tc>
        <w:tc>
          <w:tcPr>
            <w:tcW w:w="0" w:type="dxa"/>
            <w:vAlign w:val="bottom"/>
          </w:tcPr>
          <w:p>
            <w:pPr>
              <w:spacing w:after="0"/>
              <w:rPr>
                <w:sz w:val="1"/>
                <w:szCs w:val="1"/>
                <w:color w:val="auto"/>
              </w:rPr>
            </w:pPr>
          </w:p>
        </w:tc>
      </w:tr>
      <w:tr>
        <w:trPr>
          <w:trHeight w:val="212"/>
        </w:trPr>
        <w:tc>
          <w:tcPr>
            <w:tcW w:w="8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1,265,009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1,244,026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7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749,547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634,444</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Cost of services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571,520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490,640</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178,027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143,804</w:t>
            </w:r>
          </w:p>
        </w:tc>
      </w:tr>
      <w:tr>
        <w:trPr>
          <w:trHeight w:val="21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85,850</w:t>
            </w: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Loss (gain) on sale of assets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12"/>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income</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74,619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57,990</w:t>
            </w:r>
          </w:p>
        </w:tc>
      </w:tr>
      <w:tr>
        <w:trPr>
          <w:trHeight w:val="199"/>
        </w:trPr>
        <w:tc>
          <w:tcPr>
            <w:tcW w:w="7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 income, net</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(1,393)</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77,664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58,986</w:t>
            </w:r>
          </w:p>
        </w:tc>
      </w:tr>
      <w:tr>
        <w:trPr>
          <w:trHeight w:val="219"/>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19,983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15,398</w:t>
            </w:r>
          </w:p>
        </w:tc>
      </w:tr>
      <w:tr>
        <w:trPr>
          <w:trHeight w:val="212"/>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57,681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43,588</w:t>
            </w:r>
          </w:p>
        </w:tc>
      </w:tr>
      <w:tr>
        <w:trPr>
          <w:trHeight w:val="212"/>
        </w:trPr>
        <w:tc>
          <w:tcPr>
            <w:tcW w:w="7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(2,632)</w:t>
            </w:r>
          </w:p>
        </w:tc>
      </w:tr>
      <w:tr>
        <w:trPr>
          <w:trHeight w:val="237"/>
        </w:trPr>
        <w:tc>
          <w:tcPr>
            <w:tcW w:w="7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Comprehensive income attributable to IES Holdings, Inc.</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56,303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40,956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2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06"/>
        </w:trPr>
        <w:tc>
          <w:tcPr>
            <w:tcW w:w="7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19,989,951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20,199,587</w:t>
            </w:r>
          </w:p>
        </w:tc>
      </w:tr>
      <w:tr>
        <w:trPr>
          <w:trHeight w:val="219"/>
        </w:trPr>
        <w:tc>
          <w:tcPr>
            <w:tcW w:w="7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20,245,842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20,435,148</w:t>
            </w: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10"/>
          </w:tcPr>
          <w:p>
            <w:pPr>
              <w:ind w:left="820"/>
              <w:spacing w:after="0"/>
              <w:rPr>
                <w:sz w:val="20"/>
                <w:szCs w:val="20"/>
                <w:color w:val="auto"/>
              </w:rPr>
            </w:pPr>
            <w:r>
              <w:rPr>
                <w:rFonts w:ascii="Times New Roman" w:cs="Times New Roman" w:eastAsia="Times New Roman" w:hAnsi="Times New Roman"/>
                <w:sz w:val="14"/>
                <w:szCs w:val="14"/>
                <w:color w:val="auto"/>
              </w:rPr>
              <w:t>Three Months Ended December 31, 2024</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60" w:type="dxa"/>
            <w:vAlign w:val="bottom"/>
            <w:gridSpan w:val="8"/>
          </w:tcPr>
          <w:p>
            <w:pPr>
              <w:ind w:left="480"/>
              <w:spacing w:after="0"/>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19"/>
                <w:szCs w:val="19"/>
                <w:color w:val="auto"/>
              </w:rPr>
            </w:pPr>
          </w:p>
        </w:tc>
        <w:tc>
          <w:tcPr>
            <w:tcW w:w="2280" w:type="dxa"/>
            <w:vAlign w:val="bottom"/>
            <w:gridSpan w:val="7"/>
          </w:tcPr>
          <w:p>
            <w:pPr>
              <w:ind w:left="640"/>
              <w:spacing w:after="0"/>
              <w:rPr>
                <w:sz w:val="20"/>
                <w:szCs w:val="20"/>
                <w:color w:val="auto"/>
              </w:rPr>
            </w:pPr>
            <w:r>
              <w:rPr>
                <w:rFonts w:ascii="Times New Roman" w:cs="Times New Roman" w:eastAsia="Times New Roman" w:hAnsi="Times New Roman"/>
                <w:sz w:val="14"/>
                <w:szCs w:val="14"/>
                <w:color w:val="auto"/>
              </w:rPr>
              <w:t>Treasury Stock</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Additional Paid -In</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Retained Earnings</w:t>
            </w:r>
          </w:p>
        </w:tc>
        <w:tc>
          <w:tcPr>
            <w:tcW w:w="120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15"/>
                <w:szCs w:val="15"/>
                <w:color w:val="auto"/>
              </w:rPr>
            </w:pPr>
          </w:p>
        </w:tc>
        <w:tc>
          <w:tcPr>
            <w:tcW w:w="10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8"/>
              </w:rPr>
              <w:t>Capital</w:t>
            </w:r>
          </w:p>
        </w:tc>
        <w:tc>
          <w:tcPr>
            <w:tcW w:w="124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3"/>
        </w:trPr>
        <w:tc>
          <w:tcPr>
            <w:tcW w:w="40" w:type="dxa"/>
            <w:vAlign w:val="bottom"/>
            <w:tcBorders>
              <w:top w:val="single" w:sz="8" w:color="CCEEFF"/>
            </w:tcBorders>
            <w:shd w:val="clear" w:color="auto" w:fill="CCEEFF"/>
          </w:tcPr>
          <w:p>
            <w:pPr>
              <w:spacing w:after="0"/>
              <w:rPr>
                <w:sz w:val="16"/>
                <w:szCs w:val="16"/>
                <w:color w:val="auto"/>
              </w:rPr>
            </w:pPr>
          </w:p>
        </w:tc>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2024</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(2,077,859)</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(90,325)</w:t>
            </w: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203,458</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497,760</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611,113</w:t>
            </w:r>
          </w:p>
        </w:tc>
        <w:tc>
          <w:tcPr>
            <w:tcW w:w="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Issuances under compensation plans</w:t>
            </w:r>
          </w:p>
        </w:tc>
        <w:tc>
          <w:tcPr>
            <w:tcW w:w="20" w:type="dxa"/>
            <w:vAlign w:val="bottom"/>
          </w:tcPr>
          <w:p>
            <w:pPr>
              <w:spacing w:after="0"/>
              <w:rPr>
                <w:sz w:val="16"/>
                <w:szCs w:val="16"/>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94,752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40" w:type="dxa"/>
            <w:vAlign w:val="bottom"/>
            <w:shd w:val="clear" w:color="auto" w:fill="CCEEFF"/>
          </w:tcPr>
          <w:p>
            <w:pPr>
              <w:spacing w:after="0"/>
              <w:rPr>
                <w:sz w:val="17"/>
                <w:szCs w:val="17"/>
                <w:color w:val="auto"/>
              </w:rPr>
            </w:pP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(59,792)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(15,731)</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compensation</w:t>
            </w:r>
          </w:p>
        </w:tc>
        <w:tc>
          <w:tcPr>
            <w:tcW w:w="20" w:type="dxa"/>
            <w:vAlign w:val="bottom"/>
          </w:tcPr>
          <w:p>
            <w:pPr>
              <w:spacing w:after="0"/>
              <w:rPr>
                <w:sz w:val="16"/>
                <w:szCs w:val="16"/>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shd w:val="clear" w:color="auto" w:fill="CCEEFF"/>
          </w:tcPr>
          <w:p>
            <w:pPr>
              <w:spacing w:after="0"/>
              <w:rPr>
                <w:sz w:val="17"/>
                <w:szCs w:val="17"/>
                <w:color w:val="auto"/>
              </w:rPr>
            </w:pP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Increase in noncontrolling interest</w:t>
            </w:r>
          </w:p>
        </w:tc>
        <w:tc>
          <w:tcPr>
            <w:tcW w:w="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(1,144)</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 attributable to IES Holdings, Inc.</w:t>
            </w:r>
          </w:p>
        </w:tc>
        <w:tc>
          <w:tcPr>
            <w:tcW w:w="20" w:type="dxa"/>
            <w:vAlign w:val="bottom"/>
          </w:tcPr>
          <w:p>
            <w:pPr>
              <w:spacing w:after="0"/>
              <w:rPr>
                <w:sz w:val="16"/>
                <w:szCs w:val="16"/>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(2,042,899)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652,439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gridSpan w:val="10"/>
          </w:tcPr>
          <w:p>
            <w:pPr>
              <w:ind w:left="800"/>
              <w:spacing w:after="0"/>
              <w:rPr>
                <w:sz w:val="20"/>
                <w:szCs w:val="20"/>
                <w:color w:val="auto"/>
              </w:rPr>
            </w:pPr>
            <w:r>
              <w:rPr>
                <w:rFonts w:ascii="Times New Roman" w:cs="Times New Roman" w:eastAsia="Times New Roman" w:hAnsi="Times New Roman"/>
                <w:sz w:val="14"/>
                <w:szCs w:val="14"/>
                <w:color w:val="auto"/>
              </w:rPr>
              <w:t>Three Months Ended December 31, 2023</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bottom w:val="single" w:sz="8" w:color="auto"/>
            </w:tcBorders>
            <w:gridSpan w:val="8"/>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gridSpan w:val="7"/>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60" w:type="dxa"/>
            <w:vAlign w:val="bottom"/>
            <w:gridSpan w:val="8"/>
          </w:tcPr>
          <w:p>
            <w:pPr>
              <w:ind w:left="500"/>
              <w:spacing w:after="0"/>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19"/>
                <w:szCs w:val="19"/>
                <w:color w:val="auto"/>
              </w:rPr>
            </w:pPr>
          </w:p>
        </w:tc>
        <w:tc>
          <w:tcPr>
            <w:tcW w:w="2280" w:type="dxa"/>
            <w:vAlign w:val="bottom"/>
            <w:gridSpan w:val="7"/>
          </w:tcPr>
          <w:p>
            <w:pPr>
              <w:ind w:left="660"/>
              <w:spacing w:after="0"/>
              <w:rPr>
                <w:sz w:val="20"/>
                <w:szCs w:val="20"/>
                <w:color w:val="auto"/>
              </w:rPr>
            </w:pPr>
            <w:r>
              <w:rPr>
                <w:rFonts w:ascii="Times New Roman" w:cs="Times New Roman" w:eastAsia="Times New Roman" w:hAnsi="Times New Roman"/>
                <w:sz w:val="14"/>
                <w:szCs w:val="14"/>
                <w:color w:val="auto"/>
              </w:rPr>
              <w:t>Treasury Stock</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Additional Paid -In</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Total Stockholders'</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Retained Earnings</w:t>
            </w:r>
          </w:p>
        </w:tc>
        <w:tc>
          <w:tcPr>
            <w:tcW w:w="120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40" w:type="dxa"/>
            <w:vAlign w:val="bottom"/>
          </w:tcPr>
          <w:p>
            <w:pPr>
              <w:spacing w:after="0"/>
              <w:rPr>
                <w:sz w:val="15"/>
                <w:szCs w:val="15"/>
                <w:color w:val="auto"/>
              </w:rPr>
            </w:pPr>
          </w:p>
        </w:tc>
        <w:tc>
          <w:tcPr>
            <w:tcW w:w="10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5"/>
                <w:szCs w:val="15"/>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8"/>
              </w:rPr>
              <w:t>Capital</w:t>
            </w:r>
          </w:p>
        </w:tc>
        <w:tc>
          <w:tcPr>
            <w:tcW w:w="124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September 30, 2023</w:t>
            </w:r>
          </w:p>
        </w:tc>
        <w:tc>
          <w:tcPr>
            <w:tcW w:w="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(1,855,311)</w:t>
            </w: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(49,450)</w:t>
            </w: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203,431</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295,784</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449,985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Issuances under compensation plans</w:t>
            </w:r>
          </w:p>
        </w:tc>
        <w:tc>
          <w:tcPr>
            <w:tcW w:w="2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32,180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(12,422)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compensation</w:t>
            </w:r>
          </w:p>
        </w:tc>
        <w:tc>
          <w:tcPr>
            <w:tcW w:w="2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Increase in noncontrolling interest</w:t>
            </w:r>
          </w:p>
        </w:tc>
        <w:tc>
          <w:tcPr>
            <w:tcW w:w="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attributable to IES Holdings, Inc.</w:t>
            </w:r>
          </w:p>
        </w:tc>
        <w:tc>
          <w:tcPr>
            <w:tcW w:w="20" w:type="dxa"/>
            <w:vAlign w:val="bottom"/>
          </w:tcPr>
          <w:p>
            <w:pPr>
              <w:spacing w:after="0"/>
              <w:rPr>
                <w:sz w:val="16"/>
                <w:szCs w:val="16"/>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2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BALANCE, December 31, 2023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22,049,529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(1,835,553)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40" w:top="622"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7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57,681</w:t>
            </w:r>
          </w:p>
        </w:tc>
        <w:tc>
          <w:tcPr>
            <w:tcW w:w="14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43,588</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Bad debt expense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financing cost amortization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7,617</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Loss (gain) on sale of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1,413</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Deferred income tax expense and other non-cash tax adjustments, net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Unrealized gain on trading securities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Marketable securities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(15,693)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Accounts receivable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(24,869)</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(18,121)</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7,974</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(9,761)</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Other non-current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(4,443)</w:t>
            </w:r>
          </w:p>
        </w:tc>
      </w:tr>
      <w:tr>
        <w:trPr>
          <w:trHeight w:val="219"/>
        </w:trPr>
        <w:tc>
          <w:tcPr>
            <w:tcW w:w="79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(31,478)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(2,616)</w:t>
            </w:r>
          </w:p>
        </w:tc>
      </w:tr>
      <w:tr>
        <w:trPr>
          <w:trHeight w:val="219"/>
        </w:trPr>
        <w:tc>
          <w:tcPr>
            <w:tcW w:w="7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23,191</w:t>
            </w:r>
          </w:p>
        </w:tc>
      </w:tr>
      <w:tr>
        <w:trPr>
          <w:trHeight w:val="219"/>
        </w:trPr>
        <w:tc>
          <w:tcPr>
            <w:tcW w:w="79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37,260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24,953</w:t>
            </w:r>
          </w:p>
        </w:tc>
      </w:tr>
      <w:tr>
        <w:trPr>
          <w:trHeight w:val="19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(6,515)</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Purchases of equity investments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(44,900)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19"/>
        </w:trPr>
        <w:tc>
          <w:tcPr>
            <w:tcW w:w="7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Cash paid in conjunction with business combinations, net of cash acquired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(58,425)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(5,989)</w:t>
            </w:r>
          </w:p>
        </w:tc>
      </w:tr>
      <w:tr>
        <w:trPr>
          <w:trHeight w:val="19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Borrowings of debt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781,217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654,039</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Repayments of debt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(781,217)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(654,039)</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Cash paid for finance leases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w:t>
            </w:r>
          </w:p>
        </w:tc>
      </w:tr>
      <w:tr>
        <w:trPr>
          <w:trHeight w:val="219"/>
        </w:trPr>
        <w:tc>
          <w:tcPr>
            <w:tcW w:w="79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Settlement of contingent consideration liability</w:t>
            </w:r>
          </w:p>
        </w:tc>
        <w:tc>
          <w:tcPr>
            <w:tcW w:w="2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(4,074)</w:t>
            </w:r>
          </w:p>
        </w:tc>
      </w:tr>
      <w:tr>
        <w:trPr>
          <w:trHeight w:val="219"/>
        </w:trPr>
        <w:tc>
          <w:tcPr>
            <w:tcW w:w="7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Distribution to noncontrolling interest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w:t>
            </w:r>
          </w:p>
        </w:tc>
      </w:tr>
      <w:tr>
        <w:trPr>
          <w:trHeight w:val="219"/>
        </w:trPr>
        <w:tc>
          <w:tcPr>
            <w:tcW w:w="7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(15,731)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(929)</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(7,278)</w:t>
            </w:r>
          </w:p>
        </w:tc>
      </w:tr>
      <w:tr>
        <w:trPr>
          <w:trHeight w:val="212"/>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11,686</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100,832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75,770</w:t>
            </w:r>
          </w:p>
        </w:tc>
      </w:tr>
      <w:tr>
        <w:trPr>
          <w:trHeight w:val="212"/>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59,073</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87,456</w:t>
            </w: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(All Amounts in Thousands Except Share Amounts)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AND ACCOUNTING POLICIES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Description of the Business</w:t>
      </w:r>
    </w:p>
    <w:p>
      <w:pPr>
        <w:spacing w:after="0" w:line="24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spacing w:after="0" w:line="191" w:lineRule="exact"/>
        <w:rPr>
          <w:sz w:val="20"/>
          <w:szCs w:val="20"/>
          <w:color w:val="auto"/>
        </w:rPr>
      </w:pPr>
    </w:p>
    <w:p>
      <w:pPr>
        <w:ind w:left="620" w:right="480" w:hanging="307"/>
        <w:spacing w:after="0" w:line="26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Communications</w:t>
      </w:r>
      <w:r>
        <w:rPr>
          <w:rFonts w:ascii="Times New Roman" w:cs="Times New Roman" w:eastAsia="Times New Roman" w:hAnsi="Times New Roman"/>
          <w:sz w:val="17"/>
          <w:szCs w:val="17"/>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20" w:right="280" w:hanging="307"/>
        <w:spacing w:after="0" w:line="25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Residential</w:t>
      </w:r>
      <w:r>
        <w:rPr>
          <w:rFonts w:ascii="Times New Roman" w:cs="Times New Roman" w:eastAsia="Times New Roman" w:hAnsi="Times New Roman"/>
          <w:sz w:val="17"/>
          <w:szCs w:val="17"/>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ind w:left="620" w:right="140" w:hanging="307"/>
        <w:spacing w:after="0" w:line="253"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Infrastructure Solutions</w:t>
      </w:r>
      <w:r>
        <w:rPr>
          <w:rFonts w:ascii="Times New Roman" w:cs="Times New Roman" w:eastAsia="Times New Roman" w:hAnsi="Times New Roman"/>
          <w:sz w:val="17"/>
          <w:szCs w:val="17"/>
          <w:color w:val="auto"/>
        </w:rPr>
        <w:t xml:space="preserve"> – Provider of electro-mechanical solutions for industrial operations, including apparatus repair and custom-engineered products such as generator enclosures used in data centers and other industrial applications.</w:t>
      </w:r>
    </w:p>
    <w:p>
      <w:pPr>
        <w:ind w:left="620" w:hanging="307"/>
        <w:spacing w:after="0" w:line="266"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&amp; Industrial</w:t>
      </w:r>
      <w:r>
        <w:rPr>
          <w:rFonts w:ascii="Times New Roman" w:cs="Times New Roman" w:eastAsia="Times New Roman" w:hAnsi="Times New Roman"/>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words “IES”, the “Company”, “we”, “our”, and “us” refer to IES Holdings, Inc. and, except as otherwise specified herein, to our consolidated subsidiaries.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or capital projects at our customers’ facilities. Accordingly, operating results for any fiscal period are not necessarily indicative of results that may be achieved for any subsequent fiscal period.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Financial Statement Preparation</w:t>
      </w:r>
    </w:p>
    <w:p>
      <w:pPr>
        <w:spacing w:after="0" w:line="2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2024.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Method Investments</w:t>
      </w:r>
    </w:p>
    <w:p>
      <w:pPr>
        <w:spacing w:after="0" w:line="24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7"/>
          <w:szCs w:val="17"/>
          <w:color w:val="auto"/>
        </w:rPr>
        <w:t>We account for investments using the equity method of accounting if the investment gives us the ability to exercise significant influence over an investee but does not grant us control. Significant influence generally exists when an investor owns 20% or more of the voting stock of an incorporated investee or a more than 3% to 5% interest in an unincorporated investee. Under the equity method of accounting, the carrying amount of an investment is initially recorded at cost basis and is subsequently adjusted for our proportionate share of earnings or losses, additional investments in the entity, and distributions. Our proportionate share of earnings or losses are recorded in earnings on our Condensed Consolidated Statements of Comprehensive Income.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color w:val="auto"/>
        </w:rPr>
        <w:t>Noncontrolling Interest</w:t>
      </w:r>
    </w:p>
    <w:p>
      <w:pPr>
        <w:spacing w:after="0" w:line="16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In connection with our acquisitions of Edmonson Electric, LLC and Bayonet Plumbing, Heating &amp; Air-Conditioning, LLC (“Bayonet”) in fiscal 2021, and NEXT Electric, LLC in fiscal 2017, we acquired an 80 percent interest in each of the entities, with the remaining 20 percent interest in each such entity being retained by the respective third-party seller. The interests retained by those third-party sellers are identified on our Condensed Consolidated Balance Sheets as “Noncontrolling interest,” classified outside of permanent equity. Under the terms of each entity’s operating agreement, after five years from the date of the acquisition, we may elect to purchase, or the third-party seller may require us to purchase, part or all of the remaining 20 percent interest in the applicable entity. In each case, the purchase price is variable, based on a multiple of earnings as defined in the applicable operating agreement. Therefore, each noncontrolling interest is carried at the greater of the balance determined under Accounting Standards Codification (“ASC”) 810 and the redemption amounts assuming the noncontrolling interest was redeemable at the balance sheet date. On June 28, 2024, we acquired the remaining 20 percent noncontrolling interest in Bayonet for $32,000. If all of the noncontrolling interests remaining outstanding at December 31, 2024 had been redeemable at that date, the aggregate redemption amount would have been $39,938.</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activity in redeemable noncontrolling interest is summarized in the table below.</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77"/>
        </w:trPr>
        <w:tc>
          <w:tcPr>
            <w:tcW w:w="7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780" w:type="dxa"/>
            <w:vAlign w:val="bottom"/>
          </w:tcPr>
          <w:p>
            <w:pPr>
              <w:spacing w:after="0"/>
              <w:rPr>
                <w:sz w:val="18"/>
                <w:szCs w:val="18"/>
                <w:color w:val="auto"/>
              </w:rPr>
            </w:pPr>
          </w:p>
        </w:tc>
        <w:tc>
          <w:tcPr>
            <w:tcW w:w="6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80" w:type="dxa"/>
            <w:vAlign w:val="bottom"/>
          </w:tcPr>
          <w:p>
            <w:pPr>
              <w:spacing w:after="0"/>
              <w:rPr>
                <w:sz w:val="18"/>
                <w:szCs w:val="18"/>
                <w:color w:val="auto"/>
              </w:rPr>
            </w:pPr>
          </w:p>
        </w:tc>
        <w:tc>
          <w:tcPr>
            <w:tcW w:w="6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49,951</w:t>
            </w:r>
          </w:p>
        </w:tc>
      </w:tr>
      <w:tr>
        <w:trPr>
          <w:trHeight w:val="219"/>
        </w:trPr>
        <w:tc>
          <w:tcPr>
            <w:tcW w:w="780" w:type="dxa"/>
            <w:vAlign w:val="bottom"/>
          </w:tcPr>
          <w:p>
            <w:pPr>
              <w:spacing w:after="0"/>
              <w:rPr>
                <w:sz w:val="19"/>
                <w:szCs w:val="19"/>
                <w:color w:val="auto"/>
              </w:rPr>
            </w:pPr>
          </w:p>
        </w:tc>
        <w:tc>
          <w:tcPr>
            <w:tcW w:w="69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2,632</w:t>
            </w:r>
          </w:p>
        </w:tc>
      </w:tr>
      <w:tr>
        <w:trPr>
          <w:trHeight w:val="219"/>
        </w:trPr>
        <w:tc>
          <w:tcPr>
            <w:tcW w:w="780" w:type="dxa"/>
            <w:vAlign w:val="bottom"/>
          </w:tcPr>
          <w:p>
            <w:pPr>
              <w:spacing w:after="0"/>
              <w:rPr>
                <w:sz w:val="19"/>
                <w:szCs w:val="19"/>
                <w:color w:val="auto"/>
              </w:rPr>
            </w:pPr>
          </w:p>
        </w:tc>
        <w:tc>
          <w:tcPr>
            <w:tcW w:w="6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Distributions to noncontrolling interests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w:t>
            </w:r>
          </w:p>
        </w:tc>
      </w:tr>
      <w:tr>
        <w:trPr>
          <w:trHeight w:val="219"/>
        </w:trPr>
        <w:tc>
          <w:tcPr>
            <w:tcW w:w="780" w:type="dxa"/>
            <w:vAlign w:val="bottom"/>
          </w:tcPr>
          <w:p>
            <w:pPr>
              <w:spacing w:after="0"/>
              <w:rPr>
                <w:sz w:val="19"/>
                <w:szCs w:val="19"/>
                <w:color w:val="auto"/>
              </w:rPr>
            </w:pPr>
          </w:p>
        </w:tc>
        <w:tc>
          <w:tcPr>
            <w:tcW w:w="69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Adjustments to record noncontrolling interests at redemption value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3,683</w:t>
            </w:r>
          </w:p>
        </w:tc>
      </w:tr>
      <w:tr>
        <w:trPr>
          <w:trHeight w:val="237"/>
        </w:trPr>
        <w:tc>
          <w:tcPr>
            <w:tcW w:w="780" w:type="dxa"/>
            <w:vAlign w:val="bottom"/>
          </w:tcPr>
          <w:p>
            <w:pPr>
              <w:spacing w:after="0"/>
              <w:rPr>
                <w:sz w:val="20"/>
                <w:szCs w:val="20"/>
                <w:color w:val="auto"/>
              </w:rPr>
            </w:pPr>
          </w:p>
        </w:tc>
        <w:tc>
          <w:tcPr>
            <w:tcW w:w="69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39,938</w:t>
            </w:r>
          </w:p>
        </w:tc>
        <w:tc>
          <w:tcPr>
            <w:tcW w:w="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54,969</w:t>
            </w:r>
          </w:p>
        </w:tc>
      </w:tr>
      <w:tr>
        <w:trPr>
          <w:trHeight w:val="20"/>
        </w:trPr>
        <w:tc>
          <w:tcPr>
            <w:tcW w:w="780" w:type="dxa"/>
            <w:vAlign w:val="bottom"/>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2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stock-based compensation, reserves for legal matters, and realizability of deferred tax assets and unrecognized tax benefits.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Standards Recently Adopted</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October 2021, the Financial Accounting Standards Board ("FASB") issued Accounting Standard Update No. 2021-08, Business Combinations (Topic 805): Accounting for Contract Assets and Contract Liabilities from Contracts with Customers (“ASU 2021-08”). This standard amends the existing guidance under ASC 805 to add contract assets and contract liabilities to the list of exceptions to the recognition and measurement principles that apply to business combinations. Under this standard, the acquirer of a business is expected to recognize and measure acquired contract assets and contract liabilities as if the acquirer entered into the original contract on the same date with the same terms in accordance with ASC 606 rather than at fair value on the date of acquisition. This update is effective for fiscal years beginning after December 15, 2022 and for interim periods within that year. We adopted this standard on October 1, 2023 using the prospective method. ASU 2021-08 impacts how we account for business combinations completed after its adoption.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Accounting Pronouncements and Disclosure Rules Not Yet Adopted</w:t>
      </w:r>
    </w:p>
    <w:p>
      <w:pPr>
        <w:spacing w:after="0" w:line="24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In November 2023, the FASB issued Accounting Standard Update No. 2023-07, Segment Reporting (Topic 280): Improvements to Reportable Segment Disclosures (“ASU 2023-07”). This standard requires disclosure of significant segment expenses, other segment items, and additional information about the chief operating decision maker (“CODM”). This update is effective for fiscal years beginning after December 15, 2023, and interim periods within fiscal years beginning after December 15, 2024. Early adoption is permitted, and retrospective application is required. We are evaluating the impact this update will have on our annual disclosures; however, it will not impact our financial condition, results of operations, or cash flows.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December 2023, the FASB issued Accounting Standard Update No. 2023-09, Income Taxes (Topic 740): Improvements to Income Tax Disclosures (“ASU 2023-09”). This standard requires more detailed disclosure within the tax rate reconciliation table, as well as additional information about cash taxes paid. This update is effective for fiscal years beginning after December 15, 2024. Early adoption is permitted. We are evaluating the impact this update will have on our annual disclosures; however, it will not impact our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t>financial condition, results of operations, or cash flows.</w:t>
      </w:r>
    </w:p>
    <w:p>
      <w:pPr>
        <w:spacing w:after="0" w:line="2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November 2024, the FASB issued Accounting Standard Update No. 2024-03, Income Statement—Reporting Comprehensive Income—Expense Disaggregation Disclosures (Subtopic 220-40): Disaggregation of Income Statement Expenses (“ASU 2024-03”). This standard requires additional disclosures of certain expenses, including purchases of inventory, employee compensation, depreciation, intangible asset amortization, and other specific expense categories. This standard also requires disclosure of the total amount of selling expenses and the Company's definition of selling expenses. This update is effective for fiscal years beginning after December 15, 2026, and interim periods within fiscal years beginning after December 15, 2027. Early adoption is permitted. We are evaluating the impact this update will have on our annual disclosures; however, it will not impact our financial condition, results of operations, or cash flows.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CONTROLLING STOCKHOLDER</w:t>
      </w:r>
    </w:p>
    <w:p>
      <w:pPr>
        <w:spacing w:after="0" w:line="24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Tontine Associates, L.L.C. (“Tontine Associates”), together with its affiliates (collectively, “Tontine”), is the Company’s controlling stockholder, owning approximately 55 percent of the Company’s outstanding common stock based on a Form 4 filed by Tontine with the SEC on December 18, 2024 and the Company's shares outstanding as of January 31, 2025. Accordingly, Tontine has the ability to exercise significant control over our affairs, including the election of directors and most actions requiring the approval of stockholders.</w:t>
      </w:r>
    </w:p>
    <w:p>
      <w:pPr>
        <w:spacing w:after="0" w:line="19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97"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Should Tontine sell or otherwise dispose of all or a significant portion of its position in IES, a change in control of IES could occur. A change of control would trigger the change of control provisions in a number of our material agreements, including our credit agreement, bonding agreements with our sureties and our executive severance plan.</w:t>
      </w:r>
    </w:p>
    <w:p>
      <w:pPr>
        <w:spacing w:after="0" w:line="19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w:t>
      </w:r>
    </w:p>
    <w:p>
      <w:pPr>
        <w:spacing w:after="0" w:line="20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 Company is party to a sublease agreement with Tontine Associates for corporate office space in Greenwich, Connecticut. On August 1, 2024, the Company entered into an amendment of the sublease agreement, which was set to terminate on August 31, 2024, to extend the term of the agreement through September 30, 2025 effective September 1, 2024, while maintaining monthly payments due in the amount of approximately $9. Payments by the Company are at a rate consistent with that paid by Tontine Associates to its landlord.</w:t>
      </w:r>
    </w:p>
    <w:p>
      <w:pPr>
        <w:spacing w:after="0" w:line="1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 RECOGNITION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Contracts</w:t>
      </w:r>
    </w:p>
    <w:p>
      <w:pPr>
        <w:spacing w:after="0" w:line="16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We account for a contract when: (i) it has approval and commitment from both parties, (ii) the rights of the parties are identified, (iii) payment terms are identified,</w:t>
      </w:r>
    </w:p>
    <w:p>
      <w:pPr>
        <w:spacing w:after="0" w:line="28" w:lineRule="exact"/>
        <w:rPr>
          <w:sz w:val="20"/>
          <w:szCs w:val="20"/>
          <w:color w:val="auto"/>
        </w:rPr>
      </w:pPr>
    </w:p>
    <w:p>
      <w:pPr>
        <w:ind w:right="80" w:firstLine="3"/>
        <w:spacing w:after="0" w:line="266" w:lineRule="auto"/>
        <w:tabs>
          <w:tab w:leader="none" w:pos="29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 has commercial substance, and (v) collectability of consideration is probable. We consider the start of a project to be when the above criteria have been met and we have written authorization from the customer to proceed.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Obligations</w:t>
      </w:r>
    </w:p>
    <w:p>
      <w:pPr>
        <w:spacing w:after="0" w:line="24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recognize revenue over time for the majority of the services we perform, other than the Residential Single-family and Infrastructure Solutions Industrial Services businesses, as (i) control continuously transfers to the customer as work progresses at a project location controlled by the customer and (ii) we have the right to bill the customer as costs are incurred. Within our Infrastructure Solutions Custom Engineered Solutions business, we often perform work inside our own facilities, where control does not continuously transfer to the customer as work progresses. In such cases, we evaluate whether the work performed creates an asset with alternative use to the Company and whether we have the right to bill the customer as costs are incurred. Such assessment involves an evaluation of contractual termination clauses. Where we are creating an asset with no alternative use and we have a contractual right to payment for work performed to date, we recognize revenue over time. If we do not have such a right, we recognize revenue upon completion of the contract, when control of the work transfers to the customer.</w:t>
      </w:r>
    </w:p>
    <w:p>
      <w:pPr>
        <w:spacing w:after="0" w:line="205"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Certain divisions in the Residential and Infrastructure Solutions segments recognize revenue at the completion of the contract ("completed contract") under the right to invoice practical expedient because the duration of their contracts is short in nature. We recognize revenue on completed contracts when the project is complete and billable to the customer.</w:t>
      </w:r>
    </w:p>
    <w:p>
      <w:pPr>
        <w:spacing w:after="0" w:line="1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For arrangements where we recognize revenue over time, we generally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Variable Consideration</w:t>
      </w:r>
    </w:p>
    <w:p>
      <w:pPr>
        <w:spacing w:after="0" w:line="2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We estimate variable consideration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234"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7"/>
          <w:szCs w:val="17"/>
          <w:color w:val="auto"/>
        </w:rPr>
        <w:t>We disaggregate our revenue from contracts with customers by activity and contract type, as these categories reflect how the nature, amount, timing and uncertainty of our revenue and cash flows are affected by economic factors. Our consolidated revenue for the three months ended December 31, 2024 and 2023 was derived from the following activities. Certain prior period amounts have been reclassified to conform with the current period presentation, where applicable. See details in the following tables:</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28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r>
      <w:tr>
        <w:trPr>
          <w:trHeight w:val="212"/>
        </w:trPr>
        <w:tc>
          <w:tcPr>
            <w:tcW w:w="1080" w:type="dxa"/>
            <w:vAlign w:val="bottom"/>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2024</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1080" w:type="dxa"/>
            <w:vAlign w:val="bottom"/>
          </w:tcPr>
          <w:p>
            <w:pPr>
              <w:spacing w:after="0"/>
              <w:rPr>
                <w:sz w:val="18"/>
                <w:szCs w:val="18"/>
                <w:color w:val="auto"/>
              </w:rPr>
            </w:pPr>
          </w:p>
        </w:tc>
        <w:tc>
          <w:tcPr>
            <w:tcW w:w="2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Communications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170,748</w:t>
            </w:r>
          </w:p>
        </w:tc>
        <w:tc>
          <w:tcPr>
            <w:tcW w:w="1060" w:type="dxa"/>
            <w:vAlign w:val="bottom"/>
          </w:tcPr>
          <w:p>
            <w:pPr>
              <w:spacing w:after="0"/>
              <w:rPr>
                <w:sz w:val="18"/>
                <w:szCs w:val="18"/>
                <w:color w:val="auto"/>
              </w:rPr>
            </w:pPr>
          </w:p>
        </w:tc>
      </w:tr>
      <w:tr>
        <w:trPr>
          <w:trHeight w:val="219"/>
        </w:trPr>
        <w:tc>
          <w:tcPr>
            <w:tcW w:w="1080" w:type="dxa"/>
            <w:vAlign w:val="bottom"/>
          </w:tcPr>
          <w:p>
            <w:pPr>
              <w:spacing w:after="0"/>
              <w:rPr>
                <w:sz w:val="19"/>
                <w:szCs w:val="19"/>
                <w:color w:val="auto"/>
              </w:rPr>
            </w:pPr>
          </w:p>
        </w:tc>
        <w:tc>
          <w:tcPr>
            <w:tcW w:w="2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1080" w:type="dxa"/>
            <w:vAlign w:val="bottom"/>
          </w:tcPr>
          <w:p>
            <w:pPr>
              <w:spacing w:after="0"/>
              <w:rPr>
                <w:sz w:val="19"/>
                <w:szCs w:val="19"/>
                <w:color w:val="auto"/>
              </w:rPr>
            </w:pPr>
          </w:p>
        </w:tc>
        <w:tc>
          <w:tcPr>
            <w:tcW w:w="2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Single-family Electrical</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169,217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173,984</w:t>
            </w:r>
          </w:p>
        </w:tc>
        <w:tc>
          <w:tcPr>
            <w:tcW w:w="1060" w:type="dxa"/>
            <w:vAlign w:val="bottom"/>
          </w:tcPr>
          <w:p>
            <w:pPr>
              <w:spacing w:after="0"/>
              <w:rPr>
                <w:sz w:val="19"/>
                <w:szCs w:val="19"/>
                <w:color w:val="auto"/>
              </w:rPr>
            </w:pPr>
          </w:p>
        </w:tc>
      </w:tr>
      <w:tr>
        <w:trPr>
          <w:trHeight w:val="219"/>
        </w:trPr>
        <w:tc>
          <w:tcPr>
            <w:tcW w:w="1080" w:type="dxa"/>
            <w:vAlign w:val="bottom"/>
          </w:tcPr>
          <w:p>
            <w:pPr>
              <w:spacing w:after="0"/>
              <w:rPr>
                <w:sz w:val="19"/>
                <w:szCs w:val="19"/>
                <w:color w:val="auto"/>
              </w:rPr>
            </w:pPr>
          </w:p>
        </w:tc>
        <w:tc>
          <w:tcPr>
            <w:tcW w:w="3160" w:type="dxa"/>
            <w:vAlign w:val="bottom"/>
            <w:gridSpan w:val="5"/>
          </w:tcPr>
          <w:p>
            <w:pPr>
              <w:ind w:left="200"/>
              <w:spacing w:after="0"/>
              <w:rPr>
                <w:sz w:val="20"/>
                <w:szCs w:val="20"/>
                <w:color w:val="auto"/>
              </w:rPr>
            </w:pPr>
            <w:r>
              <w:rPr>
                <w:rFonts w:ascii="Times New Roman" w:cs="Times New Roman" w:eastAsia="Times New Roman" w:hAnsi="Times New Roman"/>
                <w:sz w:val="17"/>
                <w:szCs w:val="17"/>
                <w:color w:val="auto"/>
              </w:rPr>
              <w:t>Single-family Plumbing &amp; HVAC</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72,583</w:t>
            </w:r>
          </w:p>
        </w:tc>
        <w:tc>
          <w:tcPr>
            <w:tcW w:w="1060" w:type="dxa"/>
            <w:vAlign w:val="bottom"/>
          </w:tcPr>
          <w:p>
            <w:pPr>
              <w:spacing w:after="0"/>
              <w:rPr>
                <w:sz w:val="19"/>
                <w:szCs w:val="19"/>
                <w:color w:val="auto"/>
              </w:rPr>
            </w:pPr>
          </w:p>
        </w:tc>
      </w:tr>
      <w:tr>
        <w:trPr>
          <w:trHeight w:val="219"/>
        </w:trPr>
        <w:tc>
          <w:tcPr>
            <w:tcW w:w="1080" w:type="dxa"/>
            <w:vAlign w:val="bottom"/>
          </w:tcPr>
          <w:p>
            <w:pPr>
              <w:spacing w:after="0"/>
              <w:rPr>
                <w:sz w:val="19"/>
                <w:szCs w:val="19"/>
                <w:color w:val="auto"/>
              </w:rPr>
            </w:pPr>
          </w:p>
        </w:tc>
        <w:tc>
          <w:tcPr>
            <w:tcW w:w="2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Multi-family and Other</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76,571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69,289</w:t>
            </w:r>
          </w:p>
        </w:tc>
        <w:tc>
          <w:tcPr>
            <w:tcW w:w="1060" w:type="dxa"/>
            <w:vAlign w:val="bottom"/>
          </w:tcPr>
          <w:p>
            <w:pPr>
              <w:spacing w:after="0"/>
              <w:rPr>
                <w:sz w:val="19"/>
                <w:szCs w:val="19"/>
                <w:color w:val="auto"/>
              </w:rPr>
            </w:pPr>
          </w:p>
        </w:tc>
      </w:tr>
      <w:tr>
        <w:trPr>
          <w:trHeight w:val="212"/>
        </w:trPr>
        <w:tc>
          <w:tcPr>
            <w:tcW w:w="1080" w:type="dxa"/>
            <w:vAlign w:val="bottom"/>
          </w:tcPr>
          <w:p>
            <w:pPr>
              <w:spacing w:after="0"/>
              <w:rPr>
                <w:sz w:val="18"/>
                <w:szCs w:val="18"/>
                <w:color w:val="auto"/>
              </w:rPr>
            </w:pPr>
          </w:p>
        </w:tc>
        <w:tc>
          <w:tcPr>
            <w:tcW w:w="2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Total Residential</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319,971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315,856</w:t>
            </w:r>
          </w:p>
        </w:tc>
        <w:tc>
          <w:tcPr>
            <w:tcW w:w="1060" w:type="dxa"/>
            <w:vAlign w:val="bottom"/>
          </w:tcPr>
          <w:p>
            <w:pPr>
              <w:spacing w:after="0"/>
              <w:rPr>
                <w:sz w:val="18"/>
                <w:szCs w:val="18"/>
                <w:color w:val="auto"/>
              </w:rPr>
            </w:pPr>
          </w:p>
        </w:tc>
      </w:tr>
      <w:tr>
        <w:trPr>
          <w:trHeight w:val="219"/>
        </w:trPr>
        <w:tc>
          <w:tcPr>
            <w:tcW w:w="1080" w:type="dxa"/>
            <w:vAlign w:val="bottom"/>
          </w:tcPr>
          <w:p>
            <w:pPr>
              <w:spacing w:after="0"/>
              <w:rPr>
                <w:sz w:val="19"/>
                <w:szCs w:val="19"/>
                <w:color w:val="auto"/>
              </w:rPr>
            </w:pPr>
          </w:p>
        </w:tc>
        <w:tc>
          <w:tcPr>
            <w:tcW w:w="2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Infrastructure Solutions</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1080" w:type="dxa"/>
            <w:vAlign w:val="bottom"/>
          </w:tcPr>
          <w:p>
            <w:pPr>
              <w:spacing w:after="0"/>
              <w:rPr>
                <w:sz w:val="19"/>
                <w:szCs w:val="19"/>
                <w:color w:val="auto"/>
              </w:rPr>
            </w:pPr>
          </w:p>
        </w:tc>
        <w:tc>
          <w:tcPr>
            <w:tcW w:w="2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Industrial Services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11,098</w:t>
            </w:r>
          </w:p>
        </w:tc>
        <w:tc>
          <w:tcPr>
            <w:tcW w:w="1060" w:type="dxa"/>
            <w:vAlign w:val="bottom"/>
          </w:tcPr>
          <w:p>
            <w:pPr>
              <w:spacing w:after="0"/>
              <w:rPr>
                <w:sz w:val="19"/>
                <w:szCs w:val="19"/>
                <w:color w:val="auto"/>
              </w:rPr>
            </w:pPr>
          </w:p>
        </w:tc>
      </w:tr>
      <w:tr>
        <w:trPr>
          <w:trHeight w:val="219"/>
        </w:trPr>
        <w:tc>
          <w:tcPr>
            <w:tcW w:w="1080" w:type="dxa"/>
            <w:vAlign w:val="bottom"/>
          </w:tcPr>
          <w:p>
            <w:pPr>
              <w:spacing w:after="0"/>
              <w:rPr>
                <w:sz w:val="19"/>
                <w:szCs w:val="19"/>
                <w:color w:val="auto"/>
              </w:rPr>
            </w:pPr>
          </w:p>
        </w:tc>
        <w:tc>
          <w:tcPr>
            <w:tcW w:w="2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Custom Engineered Solutions</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89,457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51,790</w:t>
            </w:r>
          </w:p>
        </w:tc>
        <w:tc>
          <w:tcPr>
            <w:tcW w:w="1060" w:type="dxa"/>
            <w:vAlign w:val="bottom"/>
          </w:tcPr>
          <w:p>
            <w:pPr>
              <w:spacing w:after="0"/>
              <w:rPr>
                <w:sz w:val="19"/>
                <w:szCs w:val="19"/>
                <w:color w:val="auto"/>
              </w:rPr>
            </w:pPr>
          </w:p>
        </w:tc>
      </w:tr>
      <w:tr>
        <w:trPr>
          <w:trHeight w:val="212"/>
        </w:trPr>
        <w:tc>
          <w:tcPr>
            <w:tcW w:w="1080" w:type="dxa"/>
            <w:vAlign w:val="bottom"/>
          </w:tcPr>
          <w:p>
            <w:pPr>
              <w:spacing w:after="0"/>
              <w:rPr>
                <w:sz w:val="18"/>
                <w:szCs w:val="18"/>
                <w:color w:val="auto"/>
              </w:rPr>
            </w:pPr>
          </w:p>
        </w:tc>
        <w:tc>
          <w:tcPr>
            <w:tcW w:w="2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Total Infrastructure Solutions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62,888</w:t>
            </w:r>
          </w:p>
        </w:tc>
        <w:tc>
          <w:tcPr>
            <w:tcW w:w="1060" w:type="dxa"/>
            <w:vAlign w:val="bottom"/>
          </w:tcPr>
          <w:p>
            <w:pPr>
              <w:spacing w:after="0"/>
              <w:rPr>
                <w:sz w:val="18"/>
                <w:szCs w:val="18"/>
                <w:color w:val="auto"/>
              </w:rPr>
            </w:pPr>
          </w:p>
        </w:tc>
      </w:tr>
      <w:tr>
        <w:trPr>
          <w:trHeight w:val="219"/>
        </w:trPr>
        <w:tc>
          <w:tcPr>
            <w:tcW w:w="1080" w:type="dxa"/>
            <w:vAlign w:val="bottom"/>
          </w:tcPr>
          <w:p>
            <w:pPr>
              <w:spacing w:after="0"/>
              <w:rPr>
                <w:sz w:val="19"/>
                <w:szCs w:val="19"/>
                <w:color w:val="auto"/>
              </w:rPr>
            </w:pPr>
          </w:p>
        </w:tc>
        <w:tc>
          <w:tcPr>
            <w:tcW w:w="2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88,491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84,952</w:t>
            </w:r>
          </w:p>
        </w:tc>
        <w:tc>
          <w:tcPr>
            <w:tcW w:w="1060" w:type="dxa"/>
            <w:vAlign w:val="bottom"/>
          </w:tcPr>
          <w:p>
            <w:pPr>
              <w:spacing w:after="0"/>
              <w:rPr>
                <w:sz w:val="19"/>
                <w:szCs w:val="19"/>
                <w:color w:val="auto"/>
              </w:rPr>
            </w:pPr>
          </w:p>
        </w:tc>
      </w:tr>
      <w:tr>
        <w:trPr>
          <w:trHeight w:val="212"/>
        </w:trPr>
        <w:tc>
          <w:tcPr>
            <w:tcW w:w="1080" w:type="dxa"/>
            <w:vAlign w:val="bottom"/>
          </w:tcPr>
          <w:p>
            <w:pPr>
              <w:spacing w:after="0"/>
              <w:rPr>
                <w:sz w:val="18"/>
                <w:szCs w:val="18"/>
                <w:color w:val="auto"/>
              </w:rPr>
            </w:pPr>
          </w:p>
        </w:tc>
        <w:tc>
          <w:tcPr>
            <w:tcW w:w="2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749,547</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634,444</w:t>
            </w:r>
          </w:p>
        </w:tc>
        <w:tc>
          <w:tcPr>
            <w:tcW w:w="1060" w:type="dxa"/>
            <w:vAlign w:val="bottom"/>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46"/>
        </w:trPr>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7"/>
                <w:szCs w:val="17"/>
                <w:color w:val="auto"/>
              </w:rPr>
              <w:t>Three Months Ended December 31, 2024</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70"/>
        </w:trPr>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4"/>
          </w:tcPr>
          <w:p>
            <w:pPr>
              <w:jc w:val="center"/>
              <w:ind w:right="340"/>
              <w:spacing w:after="0" w:line="170" w:lineRule="exact"/>
              <w:rPr>
                <w:sz w:val="20"/>
                <w:szCs w:val="20"/>
                <w:color w:val="auto"/>
              </w:rPr>
            </w:pPr>
            <w:r>
              <w:rPr>
                <w:rFonts w:ascii="Times New Roman" w:cs="Times New Roman" w:eastAsia="Times New Roman" w:hAnsi="Times New Roman"/>
                <w:sz w:val="17"/>
                <w:szCs w:val="17"/>
                <w:color w:val="auto"/>
              </w:rPr>
              <w:t>Infrastructure</w:t>
            </w:r>
          </w:p>
        </w:tc>
        <w:tc>
          <w:tcPr>
            <w:tcW w:w="1400" w:type="dxa"/>
            <w:vAlign w:val="bottom"/>
            <w:gridSpan w:val="3"/>
          </w:tcPr>
          <w:p>
            <w:pPr>
              <w:jc w:val="center"/>
              <w:ind w:right="180"/>
              <w:spacing w:after="0" w:line="170" w:lineRule="exact"/>
              <w:rPr>
                <w:sz w:val="20"/>
                <w:szCs w:val="20"/>
                <w:color w:val="auto"/>
              </w:rPr>
            </w:pPr>
            <w:r>
              <w:rPr>
                <w:rFonts w:ascii="Times New Roman" w:cs="Times New Roman" w:eastAsia="Times New Roman" w:hAnsi="Times New Roman"/>
                <w:sz w:val="17"/>
                <w:szCs w:val="17"/>
                <w:color w:val="auto"/>
              </w:rPr>
              <w:t>Commercial &amp;</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3"/>
        </w:trPr>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Communications</w:t>
            </w:r>
          </w:p>
        </w:tc>
        <w:tc>
          <w:tcPr>
            <w:tcW w:w="28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19"/>
                <w:szCs w:val="19"/>
                <w:color w:val="auto"/>
              </w:rPr>
            </w:pPr>
          </w:p>
        </w:tc>
        <w:tc>
          <w:tcPr>
            <w:tcW w:w="1360" w:type="dxa"/>
            <w:vAlign w:val="bottom"/>
            <w:gridSpan w:val="4"/>
          </w:tcPr>
          <w:p>
            <w:pPr>
              <w:jc w:val="center"/>
              <w:ind w:right="360"/>
              <w:spacing w:after="0"/>
              <w:rPr>
                <w:sz w:val="20"/>
                <w:szCs w:val="20"/>
                <w:color w:val="auto"/>
              </w:rPr>
            </w:pPr>
            <w:r>
              <w:rPr>
                <w:rFonts w:ascii="Times New Roman" w:cs="Times New Roman" w:eastAsia="Times New Roman" w:hAnsi="Times New Roman"/>
                <w:sz w:val="17"/>
                <w:szCs w:val="17"/>
                <w:color w:val="auto"/>
                <w:w w:val="99"/>
              </w:rPr>
              <w:t>Solutions</w:t>
            </w:r>
          </w:p>
        </w:tc>
        <w:tc>
          <w:tcPr>
            <w:tcW w:w="260" w:type="dxa"/>
            <w:vAlign w:val="bottom"/>
          </w:tcPr>
          <w:p>
            <w:pPr>
              <w:spacing w:after="0"/>
              <w:rPr>
                <w:sz w:val="19"/>
                <w:szCs w:val="19"/>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rPr>
              <w:t>Industrial</w:t>
            </w:r>
          </w:p>
        </w:tc>
        <w:tc>
          <w:tcPr>
            <w:tcW w:w="280" w:type="dxa"/>
            <w:vAlign w:val="bottom"/>
          </w:tcPr>
          <w:p>
            <w:pPr>
              <w:spacing w:after="0"/>
              <w:rPr>
                <w:sz w:val="19"/>
                <w:szCs w:val="19"/>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10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460" w:type="dxa"/>
            <w:vAlign w:val="bottom"/>
            <w:tcBorders>
              <w:top w:val="single" w:sz="8" w:color="CCEEFF"/>
            </w:tcBorders>
            <w:gridSpan w:val="2"/>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166,333</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319,971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100,200</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76,190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662,694</w:t>
            </w:r>
          </w:p>
        </w:tc>
      </w:tr>
      <w:tr>
        <w:trPr>
          <w:trHeight w:val="219"/>
        </w:trPr>
        <w:tc>
          <w:tcPr>
            <w:tcW w:w="3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66,627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86,853</w:t>
            </w:r>
          </w:p>
        </w:tc>
      </w:tr>
      <w:tr>
        <w:trPr>
          <w:trHeight w:val="237"/>
        </w:trPr>
        <w:tc>
          <w:tcPr>
            <w:tcW w:w="10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4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232,960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319,971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108,125</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749,547</w:t>
            </w: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gridSpan w:val="2"/>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10"/>
        </w:trPr>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7"/>
                <w:szCs w:val="17"/>
                <w:color w:val="auto"/>
              </w:rPr>
              <w:t>Three Months Ended December 31, 2023</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70"/>
        </w:trPr>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4"/>
          </w:tcPr>
          <w:p>
            <w:pPr>
              <w:jc w:val="center"/>
              <w:ind w:right="340"/>
              <w:spacing w:after="0" w:line="170" w:lineRule="exact"/>
              <w:rPr>
                <w:sz w:val="20"/>
                <w:szCs w:val="20"/>
                <w:color w:val="auto"/>
              </w:rPr>
            </w:pPr>
            <w:r>
              <w:rPr>
                <w:rFonts w:ascii="Times New Roman" w:cs="Times New Roman" w:eastAsia="Times New Roman" w:hAnsi="Times New Roman"/>
                <w:sz w:val="17"/>
                <w:szCs w:val="17"/>
                <w:color w:val="auto"/>
              </w:rPr>
              <w:t>Infrastructure</w:t>
            </w:r>
          </w:p>
        </w:tc>
        <w:tc>
          <w:tcPr>
            <w:tcW w:w="1400" w:type="dxa"/>
            <w:vAlign w:val="bottom"/>
            <w:gridSpan w:val="3"/>
          </w:tcPr>
          <w:p>
            <w:pPr>
              <w:jc w:val="center"/>
              <w:ind w:right="180"/>
              <w:spacing w:after="0" w:line="170" w:lineRule="exact"/>
              <w:rPr>
                <w:sz w:val="20"/>
                <w:szCs w:val="20"/>
                <w:color w:val="auto"/>
              </w:rPr>
            </w:pPr>
            <w:r>
              <w:rPr>
                <w:rFonts w:ascii="Times New Roman" w:cs="Times New Roman" w:eastAsia="Times New Roman" w:hAnsi="Times New Roman"/>
                <w:sz w:val="17"/>
                <w:szCs w:val="17"/>
                <w:color w:val="auto"/>
              </w:rPr>
              <w:t>Commercial &amp;</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23"/>
        </w:trPr>
        <w:tc>
          <w:tcPr>
            <w:tcW w:w="10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7"/>
                <w:szCs w:val="17"/>
                <w:color w:val="auto"/>
              </w:rPr>
              <w:t>Communications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7"/>
                <w:szCs w:val="17"/>
                <w:color w:val="auto"/>
                <w:w w:val="99"/>
              </w:rPr>
              <w:t>Solutions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7"/>
                <w:szCs w:val="17"/>
                <w:color w:val="auto"/>
              </w:rPr>
              <w:t>Industrial</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1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125,223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60,880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575,869</w:t>
            </w:r>
          </w:p>
        </w:tc>
      </w:tr>
      <w:tr>
        <w:trPr>
          <w:trHeight w:val="219"/>
        </w:trPr>
        <w:tc>
          <w:tcPr>
            <w:tcW w:w="3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45,525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58,575</w:t>
            </w:r>
          </w:p>
        </w:tc>
      </w:tr>
      <w:tr>
        <w:trPr>
          <w:trHeight w:val="237"/>
        </w:trPr>
        <w:tc>
          <w:tcPr>
            <w:tcW w:w="10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3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170,748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315,856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62,888</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634,444</w:t>
            </w: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w:t>
      </w:r>
    </w:p>
    <w:p>
      <w:pPr>
        <w:spacing w:after="0" w:line="247"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Accounts receivable include amounts that we have billed or have an unconditional right to bill our customers. As of December 31, 2024, Accounts receivable included $14,467 of unbilled receivables for which we have an unconditional right to bill.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Liabilities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Sheets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Sheets under the caption “Billings in excess of costs and estimated earnings”.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months ended December 31, 2024 and 2023, we recognized revenue of $116,848 and $77,964 related to our contract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liabilities at October 1, 2024 and 2023,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w:t>
      </w:r>
    </w:p>
    <w:p>
      <w:pPr>
        <w:spacing w:after="0" w:line="2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December 31, 2024, we had remaining performance obligations of $1,214,828. The Company expects to recognize revenue on approximately $994,694 of the remaining performance obligations over the next 12 months, with the remainder recognized thereafter.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 months ended December 31, 2024, net revenue recognized from our performance obligations satisfied in previous periods was not material.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DEBT</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As of December 31, 2024, we were a party to the Third Amended and Restated Credit and Security Agreement (the “Third Credit Agreement”), which provided for a maximum borrowing amount of $150,000 under our revolving credit facility. Borrowings were limited by a borrowing base determined based on available collateral. The Third Credit Agreement, which was scheduled to mature on September 30, 2026, contained customary affirmative, negative and financial covenants as disclosed in Item 7 of our Annual Report on Form 10-K for the fiscal year ended September 30, 2024. As of December 31, 2024, the Company was in compliance with the financial covenants under the Third Credit Agreement.</w:t>
      </w:r>
    </w:p>
    <w:p>
      <w:pPr>
        <w:spacing w:after="0" w:line="123"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At December 31, 2024 and September 30, 2024, we had no outstanding borrowings under our revolving credit facility. At December 31, 2024, we had $5,545 in outstanding letters of credit and total availability of $144,036 under our revolving credit facility without triggering the financial covenants under the Third Credit Agreement.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Fourth Amended and Restated Credit and Security Agreement</w:t>
      </w:r>
    </w:p>
    <w:p>
      <w:pPr>
        <w:spacing w:after="0" w:line="16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On January 21, 2025 we entered into the Fourth Amended and Restated Credit Agreement (the “Amended Credit Agreement”). Pursuant to the Amended Credit Agreement, our revolver amount increased from $150,000 to $300,000, and the maturity date was extended from September 30, 2026, to January 21, 2030.</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Under the Amended Credit Agreement, the Company is subject to certain financial covenants including a maximum Consolidated Total Leverage Ratio (as defined in the Amended Credit Agreement) of 3.00 to 1.00 and a minimum Consolidated Interest Coverage Ratio (as defined in the Amended Credit Agreement) of 3.00 to 1.00. The limitation on borrowings based on available collateral was eliminated under the Amended Credit Agreement.</w:t>
      </w:r>
    </w:p>
    <w:p>
      <w:pPr>
        <w:spacing w:after="0" w:line="11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Amounts outstanding bear interest at a rate equal to either (1) the Base Rate (which is the greater of the Federal Funds Rate (as defined in the Amended Credit Agreement) and the Prime Rate (as defined in the Amended Credit Agreement)), (2) the Daily Simple SOFR (as defined in the Amended Credit Agreement) or (3) Term SOFR (as defined in the Amended Credit Agreement), plus, in each case, an interest rate margin, which is determined quarterly based on our Consolidated Total Leverage Ratio, in accordance with the following thresholds:</w:t>
      </w:r>
    </w:p>
    <w:p>
      <w:pPr>
        <w:spacing w:after="0" w:line="158"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Pricing</w:t>
            </w:r>
          </w:p>
        </w:tc>
        <w:tc>
          <w:tcPr>
            <w:tcW w:w="5580" w:type="dxa"/>
            <w:vAlign w:val="bottom"/>
            <w:gridSpan w:val="2"/>
            <w:vMerge w:val="restart"/>
          </w:tcPr>
          <w:p>
            <w:pPr>
              <w:ind w:left="1520"/>
              <w:spacing w:after="0"/>
              <w:rPr>
                <w:sz w:val="20"/>
                <w:szCs w:val="20"/>
                <w:color w:val="auto"/>
              </w:rPr>
            </w:pPr>
            <w:r>
              <w:rPr>
                <w:rFonts w:ascii="Times New Roman" w:cs="Times New Roman" w:eastAsia="Times New Roman" w:hAnsi="Times New Roman"/>
                <w:sz w:val="17"/>
                <w:szCs w:val="17"/>
                <w:color w:val="auto"/>
              </w:rPr>
              <w:t>Consolidated Total Leverage Ratio</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Interest Margin applicable to</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Interest Margin applicable to</w:t>
            </w:r>
          </w:p>
        </w:tc>
        <w:tc>
          <w:tcPr>
            <w:tcW w:w="0" w:type="dxa"/>
            <w:vAlign w:val="bottom"/>
          </w:tcPr>
          <w:p>
            <w:pPr>
              <w:spacing w:after="0"/>
              <w:rPr>
                <w:sz w:val="1"/>
                <w:szCs w:val="1"/>
                <w:color w:val="auto"/>
              </w:rPr>
            </w:pPr>
          </w:p>
        </w:tc>
      </w:tr>
      <w:tr>
        <w:trPr>
          <w:trHeight w:val="228"/>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w:t>
            </w:r>
          </w:p>
        </w:tc>
        <w:tc>
          <w:tcPr>
            <w:tcW w:w="5580" w:type="dxa"/>
            <w:vAlign w:val="bottom"/>
            <w:gridSpan w:val="2"/>
            <w:vMerge w:val="continue"/>
          </w:tcPr>
          <w:p>
            <w:pPr>
              <w:spacing w:after="0"/>
              <w:rPr>
                <w:sz w:val="19"/>
                <w:szCs w:val="19"/>
                <w:color w:val="auto"/>
              </w:rPr>
            </w:pP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Daily Simple SOFR/Term SOFR</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Base Rate</w:t>
            </w:r>
          </w:p>
        </w:tc>
        <w:tc>
          <w:tcPr>
            <w:tcW w:w="0" w:type="dxa"/>
            <w:vAlign w:val="bottom"/>
          </w:tcPr>
          <w:p>
            <w:pPr>
              <w:spacing w:after="0"/>
              <w:rPr>
                <w:sz w:val="1"/>
                <w:szCs w:val="1"/>
                <w:color w:val="auto"/>
              </w:rPr>
            </w:pPr>
          </w:p>
        </w:tc>
      </w:tr>
      <w:tr>
        <w:trPr>
          <w:trHeight w:val="220"/>
        </w:trPr>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I</w:t>
            </w:r>
          </w:p>
        </w:tc>
        <w:tc>
          <w:tcPr>
            <w:tcW w:w="12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Greater than or equal to 2.50 to 1.00</w:t>
            </w:r>
          </w:p>
        </w:tc>
        <w:tc>
          <w:tcPr>
            <w:tcW w:w="140" w:type="dxa"/>
            <w:vAlign w:val="bottom"/>
          </w:tcPr>
          <w:p>
            <w:pPr>
              <w:spacing w:after="0"/>
              <w:rPr>
                <w:sz w:val="19"/>
                <w:szCs w:val="19"/>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2.25 percentage points</w:t>
            </w:r>
          </w:p>
        </w:tc>
        <w:tc>
          <w:tcPr>
            <w:tcW w:w="120" w:type="dxa"/>
            <w:vAlign w:val="bottom"/>
          </w:tcPr>
          <w:p>
            <w:pPr>
              <w:spacing w:after="0"/>
              <w:rPr>
                <w:sz w:val="19"/>
                <w:szCs w:val="19"/>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1.25 percentage points</w:t>
            </w:r>
          </w:p>
        </w:tc>
        <w:tc>
          <w:tcPr>
            <w:tcW w:w="0" w:type="dxa"/>
            <w:vAlign w:val="bottom"/>
          </w:tcPr>
          <w:p>
            <w:pPr>
              <w:spacing w:after="0"/>
              <w:rPr>
                <w:sz w:val="1"/>
                <w:szCs w:val="1"/>
                <w:color w:val="auto"/>
              </w:rPr>
            </w:pPr>
          </w:p>
        </w:tc>
      </w:tr>
      <w:tr>
        <w:trPr>
          <w:trHeight w:val="293"/>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II</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Greater than or equal to 1.75 to 1.00, but less than 2.50 to 1.00</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2.00 percentage points</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 percentage points</w:t>
            </w:r>
          </w:p>
        </w:tc>
        <w:tc>
          <w:tcPr>
            <w:tcW w:w="0" w:type="dxa"/>
            <w:vAlign w:val="bottom"/>
          </w:tcPr>
          <w:p>
            <w:pPr>
              <w:spacing w:after="0"/>
              <w:rPr>
                <w:sz w:val="1"/>
                <w:szCs w:val="1"/>
                <w:color w:val="auto"/>
              </w:rPr>
            </w:pPr>
          </w:p>
        </w:tc>
      </w:tr>
      <w:tr>
        <w:trPr>
          <w:trHeight w:val="297"/>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3"/>
              </w:rPr>
              <w:t>III</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Greater than or equal to 1.00 to 1.00, but less than 1.75 to 1.00</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1.75 percentage points</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0.75 percentage points</w:t>
            </w:r>
          </w:p>
        </w:tc>
        <w:tc>
          <w:tcPr>
            <w:tcW w:w="0" w:type="dxa"/>
            <w:vAlign w:val="bottom"/>
          </w:tcPr>
          <w:p>
            <w:pPr>
              <w:spacing w:after="0"/>
              <w:rPr>
                <w:sz w:val="1"/>
                <w:szCs w:val="1"/>
                <w:color w:val="auto"/>
              </w:rPr>
            </w:pPr>
          </w:p>
        </w:tc>
      </w:tr>
      <w:tr>
        <w:trPr>
          <w:trHeight w:val="297"/>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IV</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than 1.00 to 1.00</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1.50 percentage points</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0.50 percentage points</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In addition, we are charged monthly in arrears for an unused commitment fee of 0.25% to 0.35% per annum on any unused portion of the revolving credit facility based on the Company's Consolidated Total Leverage Ratio.</w:t>
      </w:r>
    </w:p>
    <w:p>
      <w:pPr>
        <w:spacing w:after="0" w:line="100" w:lineRule="exact"/>
        <w:rPr>
          <w:sz w:val="20"/>
          <w:szCs w:val="20"/>
          <w:color w:val="auto"/>
        </w:rPr>
      </w:pPr>
    </w:p>
    <w:p>
      <w:pPr>
        <w:jc w:val="both"/>
        <w:ind w:right="440"/>
        <w:spacing w:after="0" w:line="270" w:lineRule="auto"/>
        <w:rPr>
          <w:sz w:val="20"/>
          <w:szCs w:val="20"/>
          <w:color w:val="auto"/>
        </w:rPr>
      </w:pPr>
      <w:r>
        <w:rPr>
          <w:rFonts w:ascii="Times New Roman" w:cs="Times New Roman" w:eastAsia="Times New Roman" w:hAnsi="Times New Roman"/>
          <w:sz w:val="17"/>
          <w:szCs w:val="17"/>
          <w:color w:val="auto"/>
        </w:rPr>
        <w:t>The Amended Credit Agreement restricts certain types of transactions when the Company’s Consolidated Total Leverage Ratio, after giving pro forma effect thereto, exceeds 2.75 to 1.00. The Amended Credit Agreement continues to contain other customary affirmative and negative covenants as well as events of default.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3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5. PER SHARE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the components of basic and diluted earnings per share for the three months ended December 31, 2024 and 2023:</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23"/>
        </w:trPr>
        <w:tc>
          <w:tcPr>
            <w:tcW w:w="7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7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19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9"/>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56,303</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40,956</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(2,782)</w:t>
            </w: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 of IES Holdings, Inc.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55,159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38,174</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7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19,989,951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20,199,587</w:t>
            </w:r>
          </w:p>
        </w:tc>
      </w:tr>
      <w:tr>
        <w:trPr>
          <w:trHeight w:val="21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dilutive stock options and non-vested securities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255,891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235,561</w:t>
            </w: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and common equivalent shares outstanding — diluted</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20,245,842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20,435,148</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7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1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58"/>
        </w:trPr>
        <w:tc>
          <w:tcPr>
            <w:tcW w:w="7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68"/>
        </w:trPr>
        <w:tc>
          <w:tcPr>
            <w:tcW w:w="73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Potentially dilutive securities excluded from the computation of diluted earnings per share as the effect</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 their inclusion would have been anti-dilutive:</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3"/>
        </w:trPr>
        <w:tc>
          <w:tcPr>
            <w:tcW w:w="7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Employee phantom stock units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64,500</w:t>
            </w:r>
          </w:p>
        </w:tc>
      </w:tr>
    </w:tbl>
    <w:p>
      <w:pPr>
        <w:spacing w:after="0" w:line="22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For the three months ended December 31, 2023, the average price of our common shares exceeded the exercise price of all of our outstanding stock options. As a result, all of our outstanding stock options were included in the computation of diluted earnings per share. We had no remaining outstanding unvested stock options during the three months ended December 31,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OPERATING SEGMENTS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manage and measure performance of our business in four distinct operating segments: Communications, Residential, Infrastructure Solutions, and Commercial</w:t>
      </w:r>
    </w:p>
    <w:p>
      <w:pPr>
        <w:spacing w:after="0" w:line="28" w:lineRule="exact"/>
        <w:rPr>
          <w:sz w:val="20"/>
          <w:szCs w:val="20"/>
          <w:color w:val="auto"/>
        </w:rPr>
      </w:pPr>
    </w:p>
    <w:p>
      <w:pPr>
        <w:ind w:right="680" w:firstLine="3"/>
        <w:spacing w:after="0" w:line="266" w:lineRule="auto"/>
        <w:tabs>
          <w:tab w:leader="none" w:pos="17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Industrial. These segments are reflective of how the Company's CODM reviews operating results for the purpose of allocating resources and assessing performance. The Company’s CODM is its Chief Executive Officer.</w:t>
      </w:r>
    </w:p>
    <w:p>
      <w:pPr>
        <w:spacing w:after="0" w:line="19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Transactions between segments, if any, are eliminated in consolidation. Our corporate office provides general and administrative services, as well as support services, to each of our four operating segments. Management allocates certain shared costs among segments for selling, general and administrative expenses and depreciation expense.</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583"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Segment information for the three months ended December 31, 2024 and 2023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5"/>
                <w:szCs w:val="15"/>
                <w:color w:val="auto"/>
              </w:rPr>
              <w:t>Three Months Ended December 31, 2024</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8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6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5"/>
                <w:szCs w:val="15"/>
                <w:color w:val="auto"/>
              </w:rPr>
              <w:t>Solutions</w:t>
            </w:r>
          </w:p>
        </w:tc>
        <w:tc>
          <w:tcPr>
            <w:tcW w:w="14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color w:val="auto"/>
              </w:rPr>
              <w:t>Industrial</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232,960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319,971</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108,125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88,491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749,547</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184,149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240,843</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73,153</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73,375</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571,520</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48,811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79,128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34,972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15,116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178,027</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20,238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55,312</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11,268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8,064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8,157</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103,039</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28,611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23,823</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23,286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(8,157)</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74,619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5,411</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11,087</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4,680</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2,341</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1,055</w:t>
            </w:r>
          </w:p>
        </w:tc>
        <w:tc>
          <w:tcPr>
            <w:tcW w:w="12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13,169</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294,246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390,468</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272,625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99,668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208,002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1,265,009</w:t>
            </w:r>
          </w:p>
        </w:tc>
        <w:tc>
          <w:tcPr>
            <w:tcW w:w="0" w:type="dxa"/>
            <w:vAlign w:val="bottom"/>
          </w:tcPr>
          <w:p>
            <w:pPr>
              <w:spacing w:after="0"/>
              <w:rPr>
                <w:sz w:val="1"/>
                <w:szCs w:val="1"/>
                <w:color w:val="auto"/>
              </w:rPr>
            </w:pPr>
          </w:p>
        </w:tc>
      </w:tr>
      <w:tr>
        <w:trPr>
          <w:trHeight w:val="320"/>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5"/>
                <w:szCs w:val="15"/>
                <w:color w:val="auto"/>
              </w:rPr>
              <w:t>Three Months Ended December 31, 2023</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Times New Roman" w:cs="Times New Roman" w:eastAsia="Times New Roman" w:hAnsi="Times New Roman"/>
                <w:sz w:val="15"/>
                <w:szCs w:val="15"/>
                <w:color w:val="auto"/>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Residential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5"/>
                <w:szCs w:val="15"/>
                <w:color w:val="auto"/>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Industrial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170,748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315,856</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62,888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84,952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634,444</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134,473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240,425</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44,697</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71,045</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490,640</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36,275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75,431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18,191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13,907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143,804</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14,901</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51,378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7,285</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6,847</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5,439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85,850</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21,378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24,100</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10,906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(5,439)</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57,990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4,962</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7,617</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3,364</w:t>
            </w:r>
          </w:p>
        </w:tc>
        <w:tc>
          <w:tcPr>
            <w:tcW w:w="2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6,515</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215,475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388,808</w:t>
            </w: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185,875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101,621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150,240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1,042,019</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Incentive Plan</w:t>
      </w:r>
    </w:p>
    <w:p>
      <w:pPr>
        <w:spacing w:after="0" w:line="2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541,464 shares were available for issuance at December 31, 2024. The 2006 Equity Incentive Plan is due to expire in February 2026 unless prior to that time it is reauthorized pursuant to its terms and in accordance with applicable law, including shareholder and Board approval as applicable. On November 21, 2024, the Company's Board of Directors approved the Amended and Restated 2006 Equity Incentive Plan (the "Amended Plan") which authorizes the issuance of an additional 750,000 shares under the plan. The Amended Plan will become immediately effective if approved by shareholders at the Company's 2025 Annual Shareholders' Meeting to be held on February 20, 2025. The terms of the Amended Plan are described further in the Company's definitive Proxy Statement for its 2025 Annual Meeting of Stockholders, which was filed with the SEC on January 7,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On July 31, 2024, our Board authorized a stock repurchase program for the purchase from time to time of up to $200,000 of the Company’s common stock after the previous stock repurchase program was fully utilized.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of shares and may be modified, suspended, reinstated, or terminated at any time at the Company’s discretion and without notice. We repurchased 21,048 shares of our common stock during the three months ended December 31, 2024 in open market transactions at an average price of $209.90 per share. We had no repurchases of common stock in open market transactions during the three months ended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During the three months ended December 31, 2024, we issued 94,752 shares of common stock from treasury stock to employees and repurchased 38,744 shares of common stock from our employees to satisfy statutory tax withholding requirements upon the vesting of certain performance phantom stock units under the Equity Incentive Plan.</w:t>
      </w:r>
    </w:p>
    <w:p>
      <w:pPr>
        <w:spacing w:after="0" w:line="19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During the three months ended December 31, 2023, we issued 32,180 shares of common stock from treasury stock to employees and repurchased 12,422 shares of common stock from our employees to satisfy statutory tax withholding requirements upon the vesting of certain performance phantom stock units under the Equity Incentive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Phantom Stock Units</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Director phantom stock units (“Director PSUs”) are granted to the members of the Board of Directors as part of their overall compensation. The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Phantom Stock Units</w:t>
      </w:r>
    </w:p>
    <w:p>
      <w:pPr>
        <w:spacing w:after="0" w:line="2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 summary of Employee PSU activity for the three months ended December 31, 2024 is provided in the table below:</w:t>
            </w:r>
          </w:p>
        </w:tc>
        <w:tc>
          <w:tcPr>
            <w:tcW w:w="1020" w:type="dxa"/>
            <w:vAlign w:val="bottom"/>
          </w:tcPr>
          <w:p>
            <w:pPr>
              <w:spacing w:after="0"/>
              <w:rPr>
                <w:sz w:val="19"/>
                <w:szCs w:val="19"/>
                <w:color w:val="auto"/>
              </w:rPr>
            </w:pPr>
          </w:p>
        </w:tc>
      </w:tr>
      <w:tr>
        <w:trPr>
          <w:trHeight w:val="180"/>
        </w:trPr>
        <w:tc>
          <w:tcPr>
            <w:tcW w:w="180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9"/>
        </w:trPr>
        <w:tc>
          <w:tcPr>
            <w:tcW w:w="1800" w:type="dxa"/>
            <w:vAlign w:val="bottom"/>
          </w:tcPr>
          <w:p>
            <w:pPr>
              <w:spacing w:after="0"/>
              <w:rPr>
                <w:sz w:val="19"/>
                <w:szCs w:val="19"/>
                <w:color w:val="auto"/>
              </w:rPr>
            </w:pPr>
          </w:p>
        </w:tc>
        <w:tc>
          <w:tcPr>
            <w:tcW w:w="6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Unvested at September 30,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300,301</w:t>
            </w:r>
          </w:p>
        </w:tc>
      </w:tr>
      <w:tr>
        <w:trPr>
          <w:trHeight w:val="219"/>
        </w:trPr>
        <w:tc>
          <w:tcPr>
            <w:tcW w:w="1800" w:type="dxa"/>
            <w:vAlign w:val="bottom"/>
          </w:tcPr>
          <w:p>
            <w:pPr>
              <w:spacing w:after="0"/>
              <w:rPr>
                <w:sz w:val="19"/>
                <w:szCs w:val="19"/>
                <w:color w:val="auto"/>
              </w:rPr>
            </w:pPr>
          </w:p>
        </w:tc>
        <w:tc>
          <w:tcPr>
            <w:tcW w:w="66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77,958</w:t>
            </w:r>
          </w:p>
        </w:tc>
      </w:tr>
      <w:tr>
        <w:trPr>
          <w:trHeight w:val="219"/>
        </w:trPr>
        <w:tc>
          <w:tcPr>
            <w:tcW w:w="1800" w:type="dxa"/>
            <w:vAlign w:val="bottom"/>
          </w:tcPr>
          <w:p>
            <w:pPr>
              <w:spacing w:after="0"/>
              <w:rPr>
                <w:sz w:val="19"/>
                <w:szCs w:val="19"/>
                <w:color w:val="auto"/>
              </w:rPr>
            </w:pPr>
          </w:p>
        </w:tc>
        <w:tc>
          <w:tcPr>
            <w:tcW w:w="6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Vested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(94,752)</w:t>
            </w:r>
          </w:p>
        </w:tc>
      </w:tr>
      <w:tr>
        <w:trPr>
          <w:trHeight w:val="219"/>
        </w:trPr>
        <w:tc>
          <w:tcPr>
            <w:tcW w:w="1800" w:type="dxa"/>
            <w:vAlign w:val="bottom"/>
          </w:tcPr>
          <w:p>
            <w:pPr>
              <w:spacing w:after="0"/>
              <w:rPr>
                <w:sz w:val="19"/>
                <w:szCs w:val="19"/>
                <w:color w:val="auto"/>
              </w:rPr>
            </w:pPr>
          </w:p>
        </w:tc>
        <w:tc>
          <w:tcPr>
            <w:tcW w:w="6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Forfeited</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32"/>
        </w:trPr>
        <w:tc>
          <w:tcPr>
            <w:tcW w:w="1800" w:type="dxa"/>
            <w:vAlign w:val="bottom"/>
          </w:tcPr>
          <w:p>
            <w:pPr>
              <w:spacing w:after="0"/>
              <w:rPr>
                <w:sz w:val="20"/>
                <w:szCs w:val="20"/>
                <w:color w:val="auto"/>
              </w:rPr>
            </w:pPr>
          </w:p>
        </w:tc>
        <w:tc>
          <w:tcPr>
            <w:tcW w:w="6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Unvested at December 31,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283,434</w:t>
            </w:r>
          </w:p>
        </w:tc>
      </w:tr>
      <w:tr>
        <w:trPr>
          <w:trHeight w:val="20"/>
        </w:trPr>
        <w:tc>
          <w:tcPr>
            <w:tcW w:w="180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 summary of the compensation expense related to our stock awards recognized during the three months ended December 31, 2024 and 2023 is provided in the table below:</w:t>
      </w:r>
    </w:p>
    <w:p>
      <w:pPr>
        <w:spacing w:after="0" w:line="138" w:lineRule="exact"/>
        <w:rPr>
          <w:sz w:val="20"/>
          <w:szCs w:val="20"/>
          <w:color w:val="auto"/>
        </w:rPr>
      </w:pPr>
    </w:p>
    <w:tbl>
      <w:tblPr>
        <w:tblLayout w:type="fixed"/>
        <w:tblInd w:w="1540" w:type="dxa"/>
        <w:tblCellMar>
          <w:top w:w="0" w:type="dxa"/>
          <w:left w:w="0" w:type="dxa"/>
          <w:bottom w:w="0" w:type="dxa"/>
          <w:right w:w="0" w:type="dxa"/>
        </w:tblCellMar>
      </w:tblPr>
      <w:tr>
        <w:trPr>
          <w:trHeight w:val="223"/>
        </w:trPr>
        <w:tc>
          <w:tcPr>
            <w:tcW w:w="4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4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4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Director PSUs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23"/>
        </w:trPr>
        <w:tc>
          <w:tcPr>
            <w:tcW w:w="4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Employee PSUs</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1,787</w:t>
            </w:r>
          </w:p>
        </w:tc>
        <w:tc>
          <w:tcPr>
            <w:tcW w:w="8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w:t>
            </w: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INVESTMENTS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 in Marketable Securities</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Investments in marketable equity and debt securities classified as trading securities, which were included in “Marketable securities” in our Condensed Consolidated Balance Sheets, are measured at fair value on a recurring basis and classified within Level 1 of the fair value hierarchy, because we use quoted prices of identical assets in active markets. For more information, refer to Note 9, “Fair Value Measurements.” The balance of our marketable securities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31, 2024</w:t>
            </w:r>
          </w:p>
        </w:tc>
        <w:tc>
          <w:tcPr>
            <w:tcW w:w="21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September 30, 2024</w:t>
            </w: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3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49,570</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Marketable debt securities</w:t>
            </w:r>
          </w:p>
        </w:tc>
        <w:tc>
          <w:tcPr>
            <w:tcW w:w="3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3,364</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Marketable securities</w:t>
            </w:r>
          </w:p>
        </w:tc>
        <w:tc>
          <w:tcPr>
            <w:tcW w:w="3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52,967</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35,003</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jc w:val="right"/>
              <w:ind w:right="1574"/>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6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2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 w:name="page18"/>
    <w:bookmarkEnd w:id="17"/>
    <w:p>
      <w:pPr>
        <w:ind w:right="40"/>
        <w:spacing w:after="0" w:line="269" w:lineRule="auto"/>
        <w:rPr>
          <w:sz w:val="20"/>
          <w:szCs w:val="20"/>
          <w:color w:val="auto"/>
        </w:rPr>
      </w:pPr>
      <w:r>
        <w:rPr>
          <w:rFonts w:ascii="Times New Roman" w:cs="Times New Roman" w:eastAsia="Times New Roman" w:hAnsi="Times New Roman"/>
          <w:sz w:val="17"/>
          <w:szCs w:val="17"/>
          <w:color w:val="auto"/>
        </w:rPr>
        <w:t>Gains and losses to measure our investments in marketable equity and debt securities at fair value were included in “Other income, net” on our Condensed Consolidated Statements of Comprehensive Income. Our unrealized net gains (losses), which are calculated as total net gains (losses) recognized during the period less net gains (losses) recognized on securities sold during the period, were as follows:</w:t>
      </w:r>
    </w:p>
    <w:tbl>
      <w:tblPr>
        <w:tblLayout w:type="fixed"/>
        <w:tblInd w:w="1360" w:type="dxa"/>
        <w:tblCellMar>
          <w:top w:w="0" w:type="dxa"/>
          <w:left w:w="0" w:type="dxa"/>
          <w:bottom w:w="0" w:type="dxa"/>
          <w:right w:w="0" w:type="dxa"/>
        </w:tblCellMar>
      </w:tblPr>
      <w:tr>
        <w:trPr>
          <w:trHeight w:val="223"/>
        </w:trPr>
        <w:tc>
          <w:tcPr>
            <w:tcW w:w="5780" w:type="dxa"/>
            <w:vAlign w:val="bottom"/>
          </w:tcPr>
          <w:p>
            <w:pPr>
              <w:spacing w:after="0"/>
              <w:rPr>
                <w:sz w:val="19"/>
                <w:szCs w:val="19"/>
                <w:color w:val="auto"/>
              </w:rPr>
            </w:pPr>
          </w:p>
        </w:tc>
        <w:tc>
          <w:tcPr>
            <w:tcW w:w="2760" w:type="dxa"/>
            <w:vAlign w:val="bottom"/>
            <w:tcBorders>
              <w:bottom w:val="single" w:sz="8" w:color="auto"/>
            </w:tcBorders>
            <w:gridSpan w:val="5"/>
          </w:tcPr>
          <w:p>
            <w:pPr>
              <w:jc w:val="right"/>
              <w:ind w:right="7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57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5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Unrealized gain on marketable equity securities</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2,238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Unrealized gain on marketable debt securities</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37"/>
        </w:trPr>
        <w:tc>
          <w:tcPr>
            <w:tcW w:w="5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unrealized gain on trading securities</w:t>
            </w: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2,271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of our debt securities classified as trading securities at December 31, 2024 mature after one year and before five years.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Method Investments</w:t>
      </w:r>
    </w:p>
    <w:p>
      <w:pPr>
        <w:spacing w:after="0" w:line="24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On December 2, 2024, we paid $44,900 to acquire a 12.5% membership interest in Jett Texas Company LLC (“Jett”), an investment company, as part of the financing of Jett's investment in the CB&amp;I storage solutions business, a designer and builder of storage facilities, tanks and terminals for energy and industrial markets, formerly owned by McDermott International, Ltd. Our investment, which was included in “Investments” on our Condensed Consolidated Balance Sheets, is measured using the equity method of accounting, wherein the carrying value of our investment is initially recorded at cost basis and subsequently adjusted for our proportionate share of earnings or losses, additional investments, and distributions. We did not record any earnings or loss on our investment in Jett in the three months ended December 31, 2024 and the carrying value of our investment in Jett was $44,900 at December 31,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FAIR VALUE MEASUREMENTS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 Accounting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is considered the price to sell an asset, or transfer a liability, between market participants on the measurement date. Fair value measurements assume that</w:t>
      </w:r>
    </w:p>
    <w:p>
      <w:pPr>
        <w:spacing w:after="0" w:line="28" w:lineRule="exact"/>
        <w:rPr>
          <w:sz w:val="20"/>
          <w:szCs w:val="20"/>
          <w:color w:val="auto"/>
        </w:rPr>
      </w:pPr>
    </w:p>
    <w:p>
      <w:pPr>
        <w:ind w:right="120" w:firstLine="3"/>
        <w:spacing w:after="0" w:line="255" w:lineRule="auto"/>
        <w:tabs>
          <w:tab w:leader="none" w:pos="24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or liability is exchanged in an orderly manner, (2) the exchange is in the principal market for that asset or liability, and (3) the market participants are independent, knowledgeable, and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20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At December 31, 2024 and September 30, 2024, financial assets and liabilities measured at fair value on a recurring basis were limited to investments in marketable equity and debt securities classified as trading securities, our executive savings plan, under which certain employees are permitted to defer a portion of their base salary and/or bonus for a Plan Year (as defined in the plan), and contingent consideration liabilities related to certain of our acquisitions.</w:t>
      </w:r>
    </w:p>
    <w:p>
      <w:pPr>
        <w:spacing w:after="0" w:line="191"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Financial assets (liabilities) measured at fair value on a recurring basis as of December 31, 2024 and September 30, 2024, are summarized in the following tables by the type of inputs applicable to the fair value measurements: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December 31, 2024</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22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38"/>
        </w:trPr>
        <w:tc>
          <w:tcPr>
            <w:tcW w:w="6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220" w:type="dxa"/>
            <w:vAlign w:val="bottom"/>
            <w:tcBorders>
              <w:top w:val="single" w:sz="8" w:color="CCEEFF"/>
            </w:tcBorders>
            <w:shd w:val="clear" w:color="auto" w:fill="CCEEFF"/>
          </w:tcPr>
          <w:p>
            <w:pPr>
              <w:ind w:left="20"/>
              <w:spacing w:after="0" w:line="238" w:lineRule="exact"/>
              <w:rPr>
                <w:sz w:val="20"/>
                <w:szCs w:val="20"/>
                <w:color w:val="auto"/>
              </w:rPr>
            </w:pPr>
            <w:r>
              <w:rPr>
                <w:rFonts w:ascii="Times New Roman" w:cs="Times New Roman" w:eastAsia="Times New Roman" w:hAnsi="Times New Roman"/>
                <w:sz w:val="21"/>
                <w:szCs w:val="2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49,570</w:t>
            </w: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ind w:left="20"/>
              <w:spacing w:after="0" w:line="238" w:lineRule="exact"/>
              <w:rPr>
                <w:sz w:val="20"/>
                <w:szCs w:val="20"/>
                <w:color w:val="auto"/>
              </w:rPr>
            </w:pPr>
            <w:r>
              <w:rPr>
                <w:rFonts w:ascii="Times New Roman" w:cs="Times New Roman" w:eastAsia="Times New Roman" w:hAnsi="Times New Roman"/>
                <w:sz w:val="21"/>
                <w:szCs w:val="21"/>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49,570</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ind w:left="20"/>
              <w:spacing w:after="0" w:line="238" w:lineRule="exact"/>
              <w:rPr>
                <w:sz w:val="20"/>
                <w:szCs w:val="20"/>
                <w:color w:val="auto"/>
              </w:rPr>
            </w:pPr>
            <w:r>
              <w:rPr>
                <w:rFonts w:ascii="Times New Roman" w:cs="Times New Roman" w:eastAsia="Times New Roman" w:hAnsi="Times New Roman"/>
                <w:sz w:val="21"/>
                <w:szCs w:val="21"/>
                <w:color w:val="auto"/>
              </w:rPr>
              <w:t>$</w:t>
            </w:r>
          </w:p>
        </w:tc>
        <w:tc>
          <w:tcPr>
            <w:tcW w:w="148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Marketable debt securities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(3,807)</w:t>
            </w:r>
          </w:p>
        </w:tc>
        <w:tc>
          <w:tcPr>
            <w:tcW w:w="0" w:type="dxa"/>
            <w:vAlign w:val="bottom"/>
          </w:tcPr>
          <w:p>
            <w:pPr>
              <w:spacing w:after="0"/>
              <w:rPr>
                <w:sz w:val="1"/>
                <w:szCs w:val="1"/>
                <w:color w:val="auto"/>
              </w:rPr>
            </w:pPr>
          </w:p>
        </w:tc>
      </w:tr>
      <w:tr>
        <w:trPr>
          <w:trHeight w:val="212"/>
        </w:trPr>
        <w:tc>
          <w:tcPr>
            <w:tcW w:w="6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49,290</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53,097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September 30, 2024</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Quoted Prices</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68"/>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Unobservable Inputs</w:t>
            </w:r>
          </w:p>
        </w:tc>
        <w:tc>
          <w:tcPr>
            <w:tcW w:w="0" w:type="dxa"/>
            <w:vAlign w:val="bottom"/>
          </w:tcPr>
          <w:p>
            <w:pPr>
              <w:spacing w:after="0"/>
              <w:rPr>
                <w:sz w:val="1"/>
                <w:szCs w:val="1"/>
                <w:color w:val="auto"/>
              </w:rPr>
            </w:pPr>
          </w:p>
        </w:tc>
      </w:tr>
      <w:tr>
        <w:trPr>
          <w:trHeight w:val="232"/>
        </w:trPr>
        <w:tc>
          <w:tcPr>
            <w:tcW w:w="59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Fair Value</w:t>
            </w:r>
          </w:p>
        </w:tc>
        <w:tc>
          <w:tcPr>
            <w:tcW w:w="22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2"/>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Marketable debt securities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0" w:type="dxa"/>
            <w:vAlign w:val="bottom"/>
          </w:tcPr>
          <w:p>
            <w:pPr>
              <w:spacing w:after="0"/>
              <w:rPr>
                <w:sz w:val="1"/>
                <w:szCs w:val="1"/>
                <w:color w:val="auto"/>
              </w:rPr>
            </w:pPr>
          </w:p>
        </w:tc>
      </w:tr>
      <w:tr>
        <w:trPr>
          <w:trHeight w:val="212"/>
        </w:trPr>
        <w:tc>
          <w:tcPr>
            <w:tcW w:w="60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31,669</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35,137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April 1, 2024, we entered into a contingent consideration arrangement under which we are obligated to pay up to $5,000 upon achievement of certain future earnings targets in connection with the acquisition of Greiner Industries, Inc. (“Greiner”) valued at $2,790 on the acquisition date. The fair value of this liability, which was included in “Other non-current liabilities” in our Condensed Consolidated Balance Sheets, is measured on a recurring basis classified within Level 3 of the fair value hierarchy. Net adjustments to its fair value were included in “Contingent consideration” in our Condensed Consolidated Statements of Comprehensive Income.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presents the change in fair value of liabilities measured using significant unobservable inputs (Level 3).</w:t>
      </w:r>
    </w:p>
    <w:p>
      <w:pPr>
        <w:spacing w:after="0" w:line="180" w:lineRule="exact"/>
        <w:rPr>
          <w:sz w:val="20"/>
          <w:szCs w:val="20"/>
          <w:color w:val="auto"/>
        </w:rPr>
      </w:pPr>
    </w:p>
    <w:tbl>
      <w:tblPr>
        <w:tblLayout w:type="fixed"/>
        <w:tblInd w:w="1340" w:type="dxa"/>
        <w:tblCellMar>
          <w:top w:w="0" w:type="dxa"/>
          <w:left w:w="0" w:type="dxa"/>
          <w:bottom w:w="0" w:type="dxa"/>
          <w:right w:w="0" w:type="dxa"/>
        </w:tblCellMar>
      </w:tblPr>
      <w:tr>
        <w:trPr>
          <w:trHeight w:val="195"/>
        </w:trPr>
        <w:tc>
          <w:tcPr>
            <w:tcW w:w="6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Contingent consideration</w:t>
            </w:r>
          </w:p>
        </w:tc>
      </w:tr>
      <w:tr>
        <w:trPr>
          <w:trHeight w:val="228"/>
        </w:trPr>
        <w:tc>
          <w:tcPr>
            <w:tcW w:w="6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liability</w:t>
            </w:r>
          </w:p>
        </w:tc>
      </w:tr>
      <w:tr>
        <w:trPr>
          <w:trHeight w:val="217"/>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at September 30,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r>
      <w:tr>
        <w:trPr>
          <w:trHeight w:val="219"/>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adjustments to fair value included in “Contingent consideration”</w:t>
            </w: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37"/>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at December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 INVENTORY</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64"/>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Inventories consist of the following components: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1"/>
        </w:trPr>
        <w:tc>
          <w:tcPr>
            <w:tcW w:w="7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December 31,</w:t>
            </w:r>
          </w:p>
        </w:tc>
        <w:tc>
          <w:tcPr>
            <w:tcW w:w="260" w:type="dxa"/>
            <w:vAlign w:val="bottom"/>
          </w:tcPr>
          <w:p>
            <w:pPr>
              <w:spacing w:after="0"/>
              <w:rPr>
                <w:sz w:val="20"/>
                <w:szCs w:val="20"/>
                <w:color w:val="auto"/>
              </w:rPr>
            </w:pPr>
          </w:p>
        </w:tc>
        <w:tc>
          <w:tcPr>
            <w:tcW w:w="15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September 30,</w:t>
            </w:r>
          </w:p>
        </w:tc>
      </w:tr>
      <w:tr>
        <w:trPr>
          <w:trHeight w:val="223"/>
        </w:trPr>
        <w:tc>
          <w:tcPr>
            <w:tcW w:w="7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14,078</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12,494</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4,389</w:t>
            </w:r>
          </w:p>
        </w:tc>
      </w:tr>
      <w:tr>
        <w:trPr>
          <w:trHeight w:val="21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Parts and supplies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73,563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70,767</w:t>
            </w:r>
          </w:p>
        </w:tc>
      </w:tr>
      <w:tr>
        <w:trPr>
          <w:trHeight w:val="237"/>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inventories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104,312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101,728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GOODWILL AND INTANGIBLE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summarizes the carrying value of goodwill by segment at December 31, 2024, which did not change from September 30,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Infrastructure</w:t>
            </w:r>
          </w:p>
        </w:tc>
        <w:tc>
          <w:tcPr>
            <w:tcW w:w="200" w:type="dxa"/>
            <w:vAlign w:val="bottom"/>
          </w:tcPr>
          <w:p>
            <w:pPr>
              <w:spacing w:after="0"/>
              <w:rPr>
                <w:sz w:val="16"/>
                <w:szCs w:val="16"/>
                <w:color w:val="auto"/>
              </w:rPr>
            </w:pPr>
          </w:p>
        </w:tc>
        <w:tc>
          <w:tcPr>
            <w:tcW w:w="1840" w:type="dxa"/>
            <w:vAlign w:val="bottom"/>
            <w:gridSpan w:val="3"/>
          </w:tcPr>
          <w:p>
            <w:pPr>
              <w:jc w:val="center"/>
              <w:ind w:right="594"/>
              <w:spacing w:after="0"/>
              <w:rPr>
                <w:sz w:val="20"/>
                <w:szCs w:val="20"/>
                <w:color w:val="auto"/>
              </w:rPr>
            </w:pPr>
            <w:r>
              <w:rPr>
                <w:rFonts w:ascii="Times New Roman" w:cs="Times New Roman" w:eastAsia="Times New Roman" w:hAnsi="Times New Roman"/>
                <w:sz w:val="17"/>
                <w:szCs w:val="17"/>
                <w:color w:val="auto"/>
              </w:rPr>
              <w:t>Commercial &amp;</w:t>
            </w:r>
          </w:p>
        </w:tc>
        <w:tc>
          <w:tcPr>
            <w:tcW w:w="1200" w:type="dxa"/>
            <w:vAlign w:val="bottom"/>
          </w:tcPr>
          <w:p>
            <w:pPr>
              <w:spacing w:after="0"/>
              <w:rPr>
                <w:sz w:val="16"/>
                <w:szCs w:val="16"/>
                <w:color w:val="auto"/>
              </w:rPr>
            </w:pPr>
          </w:p>
        </w:tc>
      </w:tr>
      <w:tr>
        <w:trPr>
          <w:trHeight w:val="232"/>
        </w:trPr>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26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Residential</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Solutions</w:t>
            </w:r>
          </w:p>
        </w:tc>
        <w:tc>
          <w:tcPr>
            <w:tcW w:w="200" w:type="dxa"/>
            <w:vAlign w:val="bottom"/>
          </w:tcPr>
          <w:p>
            <w:pPr>
              <w:spacing w:after="0"/>
              <w:rPr>
                <w:sz w:val="20"/>
                <w:szCs w:val="20"/>
                <w:color w:val="auto"/>
              </w:rPr>
            </w:pPr>
          </w:p>
        </w:tc>
        <w:tc>
          <w:tcPr>
            <w:tcW w:w="1840" w:type="dxa"/>
            <w:vAlign w:val="bottom"/>
            <w:gridSpan w:val="3"/>
          </w:tcPr>
          <w:p>
            <w:pPr>
              <w:jc w:val="center"/>
              <w:ind w:right="574"/>
              <w:spacing w:after="0"/>
              <w:rPr>
                <w:sz w:val="20"/>
                <w:szCs w:val="20"/>
                <w:color w:val="auto"/>
              </w:rPr>
            </w:pPr>
            <w:r>
              <w:rPr>
                <w:rFonts w:ascii="Times New Roman" w:cs="Times New Roman" w:eastAsia="Times New Roman" w:hAnsi="Times New Roman"/>
                <w:sz w:val="17"/>
                <w:szCs w:val="17"/>
                <w:color w:val="auto"/>
              </w:rPr>
              <w:t>Industrial</w:t>
            </w: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Total</w:t>
            </w:r>
          </w:p>
        </w:tc>
      </w:tr>
      <w:tr>
        <w:trPr>
          <w:trHeight w:val="237"/>
        </w:trPr>
        <w:tc>
          <w:tcPr>
            <w:tcW w:w="30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 at December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93,960</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797"/>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8"/>
        </w:trPr>
        <w:tc>
          <w:tcPr>
            <w:tcW w:w="3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7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7"/>
        </w:trPr>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Intangible Assets</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25"/>
        </w:trPr>
        <w:tc>
          <w:tcPr>
            <w:tcW w:w="4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Intangible assets consist of the following:</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170"/>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6"/>
          </w:tcPr>
          <w:p>
            <w:pPr>
              <w:jc w:val="center"/>
              <w:ind w:right="140"/>
              <w:spacing w:after="0" w:line="170" w:lineRule="exact"/>
              <w:rPr>
                <w:sz w:val="20"/>
                <w:szCs w:val="20"/>
                <w:color w:val="auto"/>
              </w:rPr>
            </w:pPr>
            <w:r>
              <w:rPr>
                <w:rFonts w:ascii="Times New Roman" w:cs="Times New Roman" w:eastAsia="Times New Roman" w:hAnsi="Times New Roman"/>
                <w:sz w:val="17"/>
                <w:szCs w:val="17"/>
                <w:color w:val="auto"/>
              </w:rPr>
              <w:t>Estimated Useful</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line="170" w:lineRule="exact"/>
              <w:rPr>
                <w:sz w:val="20"/>
                <w:szCs w:val="20"/>
                <w:color w:val="auto"/>
              </w:rPr>
            </w:pPr>
            <w:r>
              <w:rPr>
                <w:rFonts w:ascii="Times New Roman" w:cs="Times New Roman" w:eastAsia="Times New Roman" w:hAnsi="Times New Roman"/>
                <w:sz w:val="17"/>
                <w:szCs w:val="17"/>
                <w:color w:val="auto"/>
              </w:rPr>
              <w:t>Gross Carrying</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3"/>
          </w:tcPr>
          <w:p>
            <w:pPr>
              <w:ind w:left="60"/>
              <w:spacing w:after="0" w:line="170" w:lineRule="exact"/>
              <w:rPr>
                <w:sz w:val="20"/>
                <w:szCs w:val="20"/>
                <w:color w:val="auto"/>
              </w:rPr>
            </w:pPr>
            <w:r>
              <w:rPr>
                <w:rFonts w:ascii="Times New Roman" w:cs="Times New Roman" w:eastAsia="Times New Roman" w:hAnsi="Times New Roman"/>
                <w:sz w:val="17"/>
                <w:szCs w:val="17"/>
                <w:color w:val="auto"/>
              </w:rPr>
              <w:t>Accumulated</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4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8"/>
          </w:tcPr>
          <w:p>
            <w:pPr>
              <w:jc w:val="center"/>
              <w:ind w:right="34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60" w:type="dxa"/>
            <w:vAlign w:val="bottom"/>
          </w:tcPr>
          <w:p>
            <w:pPr>
              <w:spacing w:after="0"/>
              <w:rPr>
                <w:sz w:val="19"/>
                <w:szCs w:val="19"/>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Amortization</w:t>
            </w:r>
          </w:p>
        </w:tc>
        <w:tc>
          <w:tcPr>
            <w:tcW w:w="440" w:type="dxa"/>
            <w:vAlign w:val="bottom"/>
          </w:tcPr>
          <w:p>
            <w:pPr>
              <w:spacing w:after="0"/>
              <w:rPr>
                <w:sz w:val="19"/>
                <w:szCs w:val="19"/>
                <w:color w:val="auto"/>
              </w:rPr>
            </w:pPr>
          </w:p>
        </w:tc>
        <w:tc>
          <w:tcPr>
            <w:tcW w:w="90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r>
      <w:tr>
        <w:trPr>
          <w:trHeight w:val="212"/>
        </w:trPr>
        <w:tc>
          <w:tcPr>
            <w:tcW w:w="486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(7,329)</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6,492</w:t>
            </w:r>
          </w:p>
        </w:tc>
      </w:tr>
      <w:tr>
        <w:trPr>
          <w:trHeight w:val="219"/>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4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19"/>
        </w:trPr>
        <w:tc>
          <w:tcPr>
            <w:tcW w:w="4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35,290</w:t>
            </w:r>
          </w:p>
        </w:tc>
      </w:tr>
      <w:tr>
        <w:trPr>
          <w:trHeight w:val="219"/>
        </w:trPr>
        <w:tc>
          <w:tcPr>
            <w:tcW w:w="48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44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7"/>
                <w:szCs w:val="17"/>
                <w:color w:val="auto"/>
              </w:rPr>
              <w:t>1</w:t>
            </w:r>
          </w:p>
        </w:tc>
        <w:tc>
          <w:tcPr>
            <w:tcW w:w="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w:t>
            </w:r>
          </w:p>
        </w:tc>
      </w:tr>
      <w:tr>
        <w:trPr>
          <w:trHeight w:val="237"/>
        </w:trPr>
        <w:tc>
          <w:tcPr>
            <w:tcW w:w="48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107,767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(65,381)</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42,386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65"/>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September 30, 2024</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60"/>
        </w:trPr>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5"/>
          </w:tcPr>
          <w:p>
            <w:pPr>
              <w:jc w:val="center"/>
              <w:ind w:right="140"/>
              <w:spacing w:after="0" w:line="161" w:lineRule="exact"/>
              <w:rPr>
                <w:sz w:val="20"/>
                <w:szCs w:val="20"/>
                <w:color w:val="auto"/>
              </w:rPr>
            </w:pPr>
            <w:r>
              <w:rPr>
                <w:rFonts w:ascii="Times New Roman" w:cs="Times New Roman" w:eastAsia="Times New Roman" w:hAnsi="Times New Roman"/>
                <w:sz w:val="17"/>
                <w:szCs w:val="17"/>
                <w:color w:val="auto"/>
              </w:rPr>
              <w:t>Estimated Useful</w:t>
            </w:r>
          </w:p>
        </w:tc>
        <w:tc>
          <w:tcPr>
            <w:tcW w:w="24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7"/>
                <w:szCs w:val="17"/>
                <w:color w:val="auto"/>
              </w:rPr>
              <w:t>Gross Carrying</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7"/>
                <w:szCs w:val="17"/>
                <w:color w:val="auto"/>
              </w:rPr>
              <w:t>Accumulated</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2"/>
        </w:trPr>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8"/>
          </w:tcPr>
          <w:p>
            <w:pPr>
              <w:jc w:val="center"/>
              <w:ind w:right="38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60" w:type="dxa"/>
            <w:vAlign w:val="bottom"/>
          </w:tcPr>
          <w:p>
            <w:pPr>
              <w:spacing w:after="0"/>
              <w:rPr>
                <w:sz w:val="20"/>
                <w:szCs w:val="20"/>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Amortization</w:t>
            </w:r>
          </w:p>
        </w:tc>
        <w:tc>
          <w:tcPr>
            <w:tcW w:w="440" w:type="dxa"/>
            <w:vAlign w:val="bottom"/>
          </w:tcPr>
          <w:p>
            <w:pPr>
              <w:spacing w:after="0"/>
              <w:rPr>
                <w:sz w:val="20"/>
                <w:szCs w:val="20"/>
                <w:color w:val="auto"/>
              </w:rPr>
            </w:pPr>
          </w:p>
        </w:tc>
        <w:tc>
          <w:tcPr>
            <w:tcW w:w="90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Net</w:t>
            </w:r>
          </w:p>
        </w:tc>
      </w:tr>
      <w:tr>
        <w:trPr>
          <w:trHeight w:val="212"/>
        </w:trPr>
        <w:tc>
          <w:tcPr>
            <w:tcW w:w="48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tcBorders>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6,857</w:t>
            </w:r>
          </w:p>
        </w:tc>
      </w:tr>
      <w:tr>
        <w:trPr>
          <w:trHeight w:val="219"/>
        </w:trPr>
        <w:tc>
          <w:tcPr>
            <w:tcW w:w="4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4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19"/>
        </w:trPr>
        <w:tc>
          <w:tcPr>
            <w:tcW w:w="4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(54,478)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38,318</w:t>
            </w:r>
          </w:p>
        </w:tc>
      </w:tr>
      <w:tr>
        <w:trPr>
          <w:trHeight w:val="219"/>
        </w:trPr>
        <w:tc>
          <w:tcPr>
            <w:tcW w:w="48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440" w:type="dxa"/>
            <w:vAlign w:val="bottom"/>
            <w:tcBorders>
              <w:bottom w:val="single" w:sz="8" w:color="CCEEFF"/>
            </w:tcBorders>
          </w:tcPr>
          <w:p>
            <w:pPr>
              <w:jc w:val="right"/>
              <w:ind w:right="54"/>
              <w:spacing w:after="0"/>
              <w:rPr>
                <w:sz w:val="20"/>
                <w:szCs w:val="20"/>
                <w:color w:val="auto"/>
              </w:rPr>
            </w:pPr>
            <w:r>
              <w:rPr>
                <w:rFonts w:ascii="Times New Roman" w:cs="Times New Roman" w:eastAsia="Times New Roman" w:hAnsi="Times New Roman"/>
                <w:sz w:val="17"/>
                <w:szCs w:val="17"/>
                <w:color w:val="auto"/>
              </w:rPr>
              <w:t>1</w:t>
            </w:r>
          </w:p>
        </w:tc>
        <w:tc>
          <w:tcPr>
            <w:tcW w:w="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w:t>
            </w:r>
          </w:p>
        </w:tc>
      </w:tr>
      <w:tr>
        <w:trPr>
          <w:trHeight w:val="237"/>
        </w:trPr>
        <w:tc>
          <w:tcPr>
            <w:tcW w:w="48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intangible assets</w:t>
            </w: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107,767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(61,877)</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Matters</w:t>
      </w:r>
    </w:p>
    <w:p>
      <w:pPr>
        <w:spacing w:after="0" w:line="24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200"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December 31, 2024 and September 30, 2024, we had $11,032 and $11,158,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w:t>
      </w:r>
    </w:p>
    <w:p>
      <w:pPr>
        <w:spacing w:after="0" w:line="201"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December 31, 2024 and September 30, 2024, $5,545 and $4,756, respectively, of our outstanding letters of credit was utilized to collateralize our insurance program.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As of December 31, 2024, the estimated cost to complete our bonded projects was approximately $138,885.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w:t>
      </w:r>
    </w:p>
    <w:p>
      <w:pPr>
        <w:sectPr>
          <w:pgSz w:w="11900" w:h="16838" w:orient="portrait"/>
          <w:cols w:equalWidth="0" w:num="1">
            <w:col w:w="11240"/>
          </w:cols>
          <w:pgMar w:left="320" w:top="416"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color w:val="auto"/>
        </w:rPr>
        <w:t>Other Commitments and Contingencies</w:t>
      </w:r>
    </w:p>
    <w:p>
      <w:pPr>
        <w:spacing w:after="0" w:line="24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December 31, 2024, we did not have any such firm commitments to purchase materials outstanding.</w:t>
      </w:r>
    </w:p>
    <w:p>
      <w:pPr>
        <w:spacing w:after="0"/>
        <w:rPr>
          <w:sz w:val="20"/>
          <w:szCs w:val="20"/>
          <w:color w:val="auto"/>
        </w:rPr>
      </w:pPr>
      <w:r>
        <w:rPr>
          <w:rFonts w:ascii="Times New Roman" w:cs="Times New Roman" w:eastAsia="Times New Roman" w:hAnsi="Times New Roman"/>
          <w:sz w:val="17"/>
          <w:szCs w:val="17"/>
          <w:b w:val="1"/>
          <w:bCs w:val="1"/>
          <w:color w:val="auto"/>
        </w:rPr>
        <w:t>13. SUPPLEMENTAL CASH FLOW INFORMATION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Additional cash and noncash activities in three months ended December 31, 2024 and 2023 were as follows: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5"/>
        </w:trPr>
        <w:tc>
          <w:tcPr>
            <w:tcW w:w="2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240" w:type="dxa"/>
            <w:vAlign w:val="bottom"/>
          </w:tcPr>
          <w:p>
            <w:pPr>
              <w:spacing w:after="0"/>
              <w:rPr>
                <w:sz w:val="18"/>
                <w:szCs w:val="18"/>
                <w:color w:val="auto"/>
              </w:rPr>
            </w:pPr>
          </w:p>
        </w:tc>
        <w:tc>
          <w:tcPr>
            <w:tcW w:w="7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r>
      <w:tr>
        <w:trPr>
          <w:trHeight w:val="199"/>
        </w:trPr>
        <w:tc>
          <w:tcPr>
            <w:tcW w:w="240" w:type="dxa"/>
            <w:vAlign w:val="bottom"/>
          </w:tcPr>
          <w:p>
            <w:pPr>
              <w:spacing w:after="0"/>
              <w:rPr>
                <w:sz w:val="17"/>
                <w:szCs w:val="17"/>
                <w:color w:val="auto"/>
              </w:rPr>
            </w:pPr>
          </w:p>
        </w:tc>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ACTIVITIES:</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9"/>
        </w:trPr>
        <w:tc>
          <w:tcPr>
            <w:tcW w:w="240" w:type="dxa"/>
            <w:vAlign w:val="bottom"/>
          </w:tcPr>
          <w:p>
            <w:pPr>
              <w:spacing w:after="0"/>
              <w:rPr>
                <w:sz w:val="19"/>
                <w:szCs w:val="19"/>
                <w:color w:val="auto"/>
              </w:rPr>
            </w:pPr>
          </w:p>
        </w:tc>
        <w:tc>
          <w:tcPr>
            <w:tcW w:w="7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Cash paid for interest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19"/>
                <w:szCs w:val="19"/>
                <w:color w:val="auto"/>
              </w:rPr>
            </w:pP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219"/>
        </w:trPr>
        <w:tc>
          <w:tcPr>
            <w:tcW w:w="240" w:type="dxa"/>
            <w:vAlign w:val="bottom"/>
          </w:tcPr>
          <w:p>
            <w:pPr>
              <w:spacing w:after="0"/>
              <w:rPr>
                <w:sz w:val="19"/>
                <w:szCs w:val="19"/>
                <w:color w:val="auto"/>
              </w:rPr>
            </w:pPr>
          </w:p>
        </w:tc>
        <w:tc>
          <w:tcPr>
            <w:tcW w:w="7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paid for income taxes, net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58"/>
        </w:trPr>
        <w:tc>
          <w:tcPr>
            <w:tcW w:w="2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19"/>
        </w:trPr>
        <w:tc>
          <w:tcPr>
            <w:tcW w:w="240" w:type="dxa"/>
            <w:vAlign w:val="bottom"/>
          </w:tcPr>
          <w:p>
            <w:pPr>
              <w:spacing w:after="0"/>
              <w:rPr>
                <w:sz w:val="19"/>
                <w:szCs w:val="19"/>
                <w:color w:val="auto"/>
              </w:rPr>
            </w:pPr>
          </w:p>
        </w:tc>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NONCASH ACTIVITIES: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240" w:type="dxa"/>
            <w:vAlign w:val="bottom"/>
          </w:tcPr>
          <w:p>
            <w:pPr>
              <w:spacing w:after="0"/>
              <w:rPr>
                <w:sz w:val="19"/>
                <w:szCs w:val="19"/>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7,906</w:t>
            </w:r>
          </w:p>
        </w:tc>
        <w:tc>
          <w:tcPr>
            <w:tcW w:w="100" w:type="dxa"/>
            <w:vAlign w:val="bottom"/>
          </w:tcPr>
          <w:p>
            <w:pPr>
              <w:spacing w:after="0"/>
              <w:rPr>
                <w:sz w:val="19"/>
                <w:szCs w:val="19"/>
                <w:color w:val="auto"/>
              </w:rPr>
            </w:pP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6,459</w:t>
            </w:r>
          </w:p>
        </w:tc>
      </w:tr>
      <w:tr>
        <w:trPr>
          <w:trHeight w:val="219"/>
        </w:trPr>
        <w:tc>
          <w:tcPr>
            <w:tcW w:w="240" w:type="dxa"/>
            <w:vAlign w:val="bottom"/>
          </w:tcPr>
          <w:p>
            <w:pPr>
              <w:spacing w:after="0"/>
              <w:rPr>
                <w:sz w:val="19"/>
                <w:szCs w:val="19"/>
                <w:color w:val="auto"/>
              </w:rPr>
            </w:pPr>
          </w:p>
        </w:tc>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Right-of-use assets obtained in exchange for new finance lease liabilities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SUBSEQUENT EVENTS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Fourth Amended and Restated Credit and Security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January 21, 2025, we entered into the Fourth Amended and Restated Credit Agreement. For more information, refer to Note 4, “Debt.”</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429"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4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 xml:space="preserve">The following discussion and analysis should be read in conjunction with our Consolidated Financial Statements and the notes thereto, set forth in Part II,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as set forth in our Annual Report on Form 10-K for the fiscal year ended September 30, 2024,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Condensed Consolidated Financial Statements and notes thereto included in Part I, Item 1 of this Quarterly Report on Form 10-Q. The following discussion may contain forward looking statements. For additional information, see </w:t>
      </w:r>
      <w:r>
        <w:rPr>
          <w:rFonts w:ascii="Times New Roman" w:cs="Times New Roman" w:eastAsia="Times New Roman" w:hAnsi="Times New Roman"/>
          <w:sz w:val="17"/>
          <w:szCs w:val="17"/>
          <w:i w:val="1"/>
          <w:iCs w:val="1"/>
          <w:color w:val="auto"/>
        </w:rPr>
        <w:t>“Disclosure Regarding Forward Looking Statements”</w:t>
      </w:r>
      <w:r>
        <w:rPr>
          <w:rFonts w:ascii="Times New Roman" w:cs="Times New Roman" w:eastAsia="Times New Roman" w:hAnsi="Times New Roman"/>
          <w:sz w:val="17"/>
          <w:szCs w:val="17"/>
          <w:color w:val="auto"/>
        </w:rPr>
        <w:t xml:space="preserve"> in Part I of this Quarterly Report on Form 10-Q.</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 xml:space="preserve">Please refer to Part I,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of our Annual Report on Form 10-K for the fiscal year ended September 30, 2024, for a discussion of the Company’s services and corporate strategy. IES Holdings, Inc., a Delaware corporation,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Communications, Residential, Infrastructure Solutions and Commercial &amp; Industrial.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Market and Operating Conditions</w:t>
      </w:r>
    </w:p>
    <w:p>
      <w:pPr>
        <w:spacing w:after="0" w:line="2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Entering fiscal 2025, we see strong demand across many of our key end markets. However, our business segments each have their own unique set of factors influencing demand for our services. We are cautious about near-term demand for single-family housing as elevated mortgage rates and the impacts of inflation on materials and labor costs have resulted in a decline in housing affordability. In addition, consumer expectations about future interest rate reductions may cause some home buyers to delay purchases in anticipation of lower mortgage costs. In the multi-family residential business, higher borrowing costs for project owners during fiscal 2024 resulted in a reduction in backlog entering fiscal 2025, which may result in lower multi-family residential revenues compared with fiscal 2024. However, backlog across our business segments as a whole remains high, reflecting strong demand in key end markets. Demand with respect to data centers, a key end market served by our Communications, Infrastructure Solutions, and Commercial &amp; Industrial segments, remains particularly strong. However, availability of labor and capacity could constrain the rate at which we are able to grow this business.</w:t>
      </w:r>
    </w:p>
    <w:p>
      <w:pPr>
        <w:spacing w:after="0" w:line="201"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7"/>
          <w:szCs w:val="17"/>
          <w:color w:val="auto"/>
        </w:rPr>
        <w:t>While the COVID-19 pandemic's impact on markets, the supply chain and the labor force had minimal impact on our business thus far in fiscal 2025 compared with prior fiscal years, COVID-19 and any future pandemic or other public health emergency could impact our workforce, customers and suppliers in the future. An inability to procure materials in a timely manner, to complete work on schedule, and to reflect higher materials or labor costs in our pricing to customers has had, and could have in the future, a significant impact on our operating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12529"/>
        </w:rPr>
        <w:t xml:space="preserve">Please refer to Part I. Item 1A. </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i w:val="1"/>
          <w:iCs w:val="1"/>
          <w:color w:val="212529"/>
        </w:rPr>
        <w:t>Risk Factors</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color w:val="212529"/>
        </w:rPr>
        <w:t xml:space="preserve"> of our Annual Report on Form 10-K for the fiscal year ended </w:t>
      </w:r>
      <w:r>
        <w:rPr>
          <w:rFonts w:ascii="Times New Roman" w:cs="Times New Roman" w:eastAsia="Times New Roman" w:hAnsi="Times New Roman"/>
          <w:sz w:val="17"/>
          <w:szCs w:val="17"/>
          <w:color w:val="000000"/>
        </w:rPr>
        <w:t>September 30, 2024</w:t>
      </w:r>
      <w:r>
        <w:rPr>
          <w:rFonts w:ascii="Times New Roman" w:cs="Times New Roman" w:eastAsia="Times New Roman" w:hAnsi="Times New Roman"/>
          <w:sz w:val="17"/>
          <w:szCs w:val="17"/>
          <w:color w:val="212529"/>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including the results of acquired businesses from the dates acquired.</w:t>
      </w:r>
    </w:p>
    <w:tbl>
      <w:tblPr>
        <w:tblLayout w:type="fixed"/>
        <w:tblInd w:w="0" w:type="dxa"/>
        <w:tblCellMar>
          <w:top w:w="0" w:type="dxa"/>
          <w:left w:w="0" w:type="dxa"/>
          <w:bottom w:w="0" w:type="dxa"/>
          <w:right w:w="0" w:type="dxa"/>
        </w:tblCellMar>
      </w:tblPr>
      <w:tr>
        <w:trPr>
          <w:trHeight w:val="223"/>
        </w:trPr>
        <w:tc>
          <w:tcPr>
            <w:tcW w:w="5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7"/>
          </w:tcPr>
          <w:p>
            <w:pPr>
              <w:jc w:val="center"/>
              <w:ind w:right="42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854"/>
              <w:spacing w:after="0"/>
              <w:rPr>
                <w:sz w:val="20"/>
                <w:szCs w:val="20"/>
                <w:color w:val="auto"/>
              </w:rPr>
            </w:pPr>
            <w:r>
              <w:rPr>
                <w:rFonts w:ascii="Times New Roman" w:cs="Times New Roman" w:eastAsia="Times New Roman" w:hAnsi="Times New Roman"/>
                <w:sz w:val="17"/>
                <w:szCs w:val="17"/>
                <w:color w:val="auto"/>
              </w:rPr>
              <w:t>2024</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2023</w:t>
            </w: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gridSpan w:val="2"/>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20" w:type="dxa"/>
            <w:vAlign w:val="bottom"/>
            <w:gridSpan w:val="8"/>
          </w:tcPr>
          <w:p>
            <w:pPr>
              <w:jc w:val="center"/>
              <w:ind w:right="30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749,547</w:t>
            </w:r>
          </w:p>
        </w:tc>
        <w:tc>
          <w:tcPr>
            <w:tcW w:w="124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571,520</w:t>
            </w:r>
          </w:p>
        </w:tc>
        <w:tc>
          <w:tcPr>
            <w:tcW w:w="124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76.2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490,640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77.3</w:t>
            </w:r>
          </w:p>
        </w:tc>
        <w:tc>
          <w:tcPr>
            <w:tcW w:w="280" w:type="dxa"/>
            <w:vAlign w:val="bottom"/>
          </w:tcPr>
          <w:p>
            <w:pPr>
              <w:spacing w:after="0"/>
              <w:rPr>
                <w:sz w:val="19"/>
                <w:szCs w:val="19"/>
                <w:color w:val="auto"/>
              </w:rPr>
            </w:pPr>
          </w:p>
        </w:tc>
      </w:tr>
      <w:tr>
        <w:trPr>
          <w:trHeight w:val="212"/>
        </w:trPr>
        <w:tc>
          <w:tcPr>
            <w:tcW w:w="57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178,027</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23.8</w:t>
            </w: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143,804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22.7</w:t>
            </w:r>
          </w:p>
        </w:tc>
        <w:tc>
          <w:tcPr>
            <w:tcW w:w="280" w:type="dxa"/>
            <w:vAlign w:val="bottom"/>
            <w:tcBorders>
              <w:top w:val="single" w:sz="8" w:color="auto"/>
            </w:tcBorders>
            <w:shd w:val="clear" w:color="auto" w:fill="CCEEFF"/>
          </w:tcPr>
          <w:p>
            <w:pPr>
              <w:spacing w:after="0"/>
              <w:rPr>
                <w:sz w:val="18"/>
                <w:szCs w:val="18"/>
                <w:color w:val="auto"/>
              </w:rPr>
            </w:pPr>
          </w:p>
        </w:tc>
      </w:tr>
      <w:tr>
        <w:trPr>
          <w:trHeight w:val="219"/>
        </w:trPr>
        <w:tc>
          <w:tcPr>
            <w:tcW w:w="5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103,039</w:t>
            </w:r>
          </w:p>
        </w:tc>
        <w:tc>
          <w:tcPr>
            <w:tcW w:w="124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13.7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13.5</w:t>
            </w:r>
          </w:p>
        </w:tc>
        <w:tc>
          <w:tcPr>
            <w:tcW w:w="280" w:type="dxa"/>
            <w:vAlign w:val="bottom"/>
          </w:tcPr>
          <w:p>
            <w:pPr>
              <w:spacing w:after="0"/>
              <w:rPr>
                <w:sz w:val="19"/>
                <w:szCs w:val="19"/>
                <w:color w:val="auto"/>
              </w:rPr>
            </w:pPr>
          </w:p>
        </w:tc>
      </w:tr>
      <w:tr>
        <w:trPr>
          <w:trHeight w:val="219"/>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9"/>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Loss (gain) on sale of assets</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74,619</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10.0</w:t>
            </w: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57,990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9.1</w:t>
            </w:r>
          </w:p>
        </w:tc>
        <w:tc>
          <w:tcPr>
            <w:tcW w:w="280" w:type="dxa"/>
            <w:vAlign w:val="bottom"/>
            <w:tcBorders>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(3,045)</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8"/>
                <w:szCs w:val="18"/>
                <w:color w:val="auto"/>
              </w:rPr>
            </w:pPr>
          </w:p>
        </w:tc>
      </w:tr>
      <w:tr>
        <w:trPr>
          <w:trHeight w:val="212"/>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77,664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9.3</w:t>
            </w:r>
          </w:p>
        </w:tc>
        <w:tc>
          <w:tcPr>
            <w:tcW w:w="280" w:type="dxa"/>
            <w:vAlign w:val="bottom"/>
            <w:shd w:val="clear" w:color="auto" w:fill="CCEEFF"/>
          </w:tcPr>
          <w:p>
            <w:pPr>
              <w:spacing w:after="0"/>
              <w:rPr>
                <w:sz w:val="18"/>
                <w:szCs w:val="18"/>
                <w:color w:val="auto"/>
              </w:rPr>
            </w:pPr>
          </w:p>
        </w:tc>
      </w:tr>
      <w:tr>
        <w:trPr>
          <w:trHeight w:val="219"/>
        </w:trPr>
        <w:tc>
          <w:tcPr>
            <w:tcW w:w="5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19,983</w:t>
            </w:r>
          </w:p>
        </w:tc>
        <w:tc>
          <w:tcPr>
            <w:tcW w:w="124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2.7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2.4</w:t>
            </w:r>
          </w:p>
        </w:tc>
        <w:tc>
          <w:tcPr>
            <w:tcW w:w="280" w:type="dxa"/>
            <w:vAlign w:val="bottom"/>
          </w:tcPr>
          <w:p>
            <w:pPr>
              <w:spacing w:after="0"/>
              <w:rPr>
                <w:sz w:val="19"/>
                <w:szCs w:val="19"/>
                <w:color w:val="auto"/>
              </w:rPr>
            </w:pPr>
          </w:p>
        </w:tc>
      </w:tr>
      <w:tr>
        <w:trPr>
          <w:trHeight w:val="212"/>
        </w:trPr>
        <w:tc>
          <w:tcPr>
            <w:tcW w:w="57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57,681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7.7</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43,588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6.9</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(1,378)</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tcBorders>
              <w:bottom w:val="single" w:sz="8" w:color="auto"/>
            </w:tcBorders>
          </w:tcPr>
          <w:p>
            <w:pPr>
              <w:spacing w:after="0"/>
              <w:rPr>
                <w:sz w:val="18"/>
                <w:szCs w:val="18"/>
                <w:color w:val="auto"/>
              </w:rPr>
            </w:pPr>
          </w:p>
        </w:tc>
      </w:tr>
      <w:tr>
        <w:trPr>
          <w:trHeight w:val="237"/>
        </w:trPr>
        <w:tc>
          <w:tcPr>
            <w:tcW w:w="5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56,303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7"/>
          <w:szCs w:val="17"/>
          <w:color w:val="auto"/>
        </w:rPr>
        <w:t>Consolidated revenues for the three months ended December 31, 2024, were $115.1 million higher than for the three months ended December 31, 2023, an increase of 18.1%, with increases at all four of our operating segments. See further discussion below of changes in revenues for our individual segments.</w:t>
      </w:r>
    </w:p>
    <w:p>
      <w:pPr>
        <w:spacing w:after="0" w:line="17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Consolidated gross profit for the three months ended December 31, 2024 increased $34.2 million compared to the three months ended December 31, 2023. Our overall gross profit percentage was 23.8% during the three months ended December 31, 2024, as compared to 22.7% during the three months ended December 31, 2023. Gross profit as a percentage of revenue increased at our Residential, Infrastructure Solutions and Commercial &amp; Industrial segments and decreased slightly at our Communications segment. See further discussion below of changes in gross margin for our individual segments.</w:t>
      </w:r>
    </w:p>
    <w:p>
      <w:pPr>
        <w:spacing w:after="0" w:line="197"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7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During the three months ended December 31, 2024, our selling, general and administrative expenses were $103.0 million, an increase of $17.2 million, or 20.0%, over the three months ended December 31, 2023. As a percentage of revenue, selling, general and administrative expenses increased from 13.5% for the three months ended December 31, 2023 to 13.7% for the three months ended December 31, 2024. The increase in selling, general and administrative expenses was generally consistent with revenue growth.</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6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Communications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5"/>
        </w:trPr>
        <w:tc>
          <w:tcPr>
            <w:tcW w:w="5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7"/>
          </w:tcPr>
          <w:p>
            <w:pPr>
              <w:jc w:val="center"/>
              <w:ind w:right="62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2023</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6"/>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8"/>
          </w:tcPr>
          <w:p>
            <w:pPr>
              <w:jc w:val="center"/>
              <w:ind w:right="4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184,149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134,473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78.8</w:t>
            </w:r>
          </w:p>
        </w:tc>
        <w:tc>
          <w:tcPr>
            <w:tcW w:w="280" w:type="dxa"/>
            <w:vAlign w:val="bottom"/>
            <w:tcBorders>
              <w:bottom w:val="single" w:sz="8" w:color="auto"/>
            </w:tcBorders>
          </w:tcPr>
          <w:p>
            <w:pPr>
              <w:spacing w:after="0"/>
              <w:rPr>
                <w:sz w:val="19"/>
                <w:szCs w:val="19"/>
                <w:color w:val="auto"/>
              </w:rPr>
            </w:pPr>
          </w:p>
        </w:tc>
      </w:tr>
      <w:tr>
        <w:trPr>
          <w:trHeight w:val="21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36,275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21.2</w:t>
            </w:r>
          </w:p>
        </w:tc>
        <w:tc>
          <w:tcPr>
            <w:tcW w:w="280" w:type="dxa"/>
            <w:vAlign w:val="bottom"/>
            <w:shd w:val="clear" w:color="auto" w:fill="CCEEFF"/>
          </w:tcPr>
          <w:p>
            <w:pPr>
              <w:spacing w:after="0"/>
              <w:rPr>
                <w:sz w:val="18"/>
                <w:szCs w:val="18"/>
                <w:color w:val="auto"/>
              </w:rPr>
            </w:pPr>
          </w:p>
        </w:tc>
      </w:tr>
      <w:tr>
        <w:trPr>
          <w:trHeight w:val="219"/>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8.7</w:t>
            </w:r>
          </w:p>
        </w:tc>
        <w:tc>
          <w:tcPr>
            <w:tcW w:w="280" w:type="dxa"/>
            <w:vAlign w:val="bottom"/>
          </w:tcPr>
          <w:p>
            <w:pPr>
              <w:spacing w:after="0"/>
              <w:rPr>
                <w:sz w:val="19"/>
                <w:szCs w:val="19"/>
                <w:color w:val="auto"/>
              </w:rPr>
            </w:pPr>
          </w:p>
        </w:tc>
      </w:tr>
      <w:tr>
        <w:trPr>
          <w:trHeight w:val="219"/>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r>
      <w:tr>
        <w:trPr>
          <w:trHeight w:val="216"/>
        </w:trPr>
        <w:tc>
          <w:tcPr>
            <w:tcW w:w="5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28,611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21,378</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12.5</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693"/>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914"/>
              <w:spacing w:after="0"/>
              <w:rPr>
                <w:sz w:val="20"/>
                <w:szCs w:val="20"/>
                <w:color w:val="auto"/>
              </w:rPr>
            </w:pPr>
            <w:r>
              <w:rPr>
                <w:rFonts w:ascii="Times New Roman" w:cs="Times New Roman" w:eastAsia="Times New Roman" w:hAnsi="Times New Roman"/>
                <w:sz w:val="17"/>
                <w:szCs w:val="17"/>
                <w:color w:val="auto"/>
                <w:w w:val="93"/>
              </w:rPr>
              <w:t>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08"/>
        </w:trPr>
        <w:tc>
          <w:tcPr>
            <w:tcW w:w="53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3" w:name="page24"/>
    <w:bookmarkEnd w:id="23"/>
    <w:p>
      <w:pPr>
        <w:jc w:val="both"/>
        <w:ind w:right="32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Communications segment’s revenues increased by $62.2 million during the three months ended December 31, 2024, or 36.4%,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December 31, 2023. The increase primarily resulted from an increase in demand from data center customers.</w:t>
      </w:r>
    </w:p>
    <w:p>
      <w:pPr>
        <w:spacing w:after="0" w:line="169" w:lineRule="exact"/>
        <w:rPr>
          <w:sz w:val="20"/>
          <w:szCs w:val="20"/>
          <w:color w:val="auto"/>
        </w:rPr>
      </w:pPr>
    </w:p>
    <w:p>
      <w:pPr>
        <w:jc w:val="both"/>
        <w:ind w:right="3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three months ended December 31, 2024 increased by $12.5 million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December 31, 2023, primarily driven by increased revenues as discussed above. Gross profit as a percentage of revenue was 21.0% in the three months ended December 31, 2024 compared to 21.2% in the three months ended December 31, 2023.</w:t>
      </w:r>
    </w:p>
    <w:p>
      <w:pPr>
        <w:spacing w:after="0" w:line="18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by $5.3 million, or 35.8%,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three months ended December 31, 2024 compared to the three months ended December 31, 2023. The increase was consistent with the Communications segment's revenue growth during the period, resulting in selling, general and administrative expenses as a percentage of revenue of 8.7% in both periods.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45"/>
        </w:trPr>
        <w:tc>
          <w:tcPr>
            <w:tcW w:w="6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7"/>
          </w:tcPr>
          <w:p>
            <w:pPr>
              <w:jc w:val="center"/>
              <w:ind w:right="62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7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r>
      <w:tr>
        <w:trPr>
          <w:trHeight w:val="212"/>
        </w:trPr>
        <w:tc>
          <w:tcPr>
            <w:tcW w:w="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2024</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2023</w:t>
            </w: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6"/>
        </w:trPr>
        <w:tc>
          <w:tcPr>
            <w:tcW w:w="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0" w:type="dxa"/>
            <w:vAlign w:val="bottom"/>
            <w:gridSpan w:val="9"/>
          </w:tcPr>
          <w:p>
            <w:pPr>
              <w:jc w:val="center"/>
              <w:ind w:right="2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6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319,971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315,856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 w:type="dxa"/>
            <w:vAlign w:val="bottom"/>
          </w:tcPr>
          <w:p>
            <w:pPr>
              <w:spacing w:after="0"/>
              <w:rPr>
                <w:sz w:val="19"/>
                <w:szCs w:val="19"/>
                <w:color w:val="auto"/>
              </w:rPr>
            </w:pPr>
          </w:p>
        </w:tc>
        <w:tc>
          <w:tcPr>
            <w:tcW w:w="54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240,843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75.3</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240,425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76.1</w:t>
            </w:r>
          </w:p>
        </w:tc>
        <w:tc>
          <w:tcPr>
            <w:tcW w:w="300" w:type="dxa"/>
            <w:vAlign w:val="bottom"/>
            <w:tcBorders>
              <w:bottom w:val="single" w:sz="8" w:color="auto"/>
            </w:tcBorders>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24.7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75,431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23.9</w:t>
            </w:r>
          </w:p>
        </w:tc>
        <w:tc>
          <w:tcPr>
            <w:tcW w:w="300" w:type="dxa"/>
            <w:vAlign w:val="bottom"/>
            <w:shd w:val="clear" w:color="auto" w:fill="CCEEFF"/>
          </w:tcPr>
          <w:p>
            <w:pPr>
              <w:spacing w:after="0"/>
              <w:rPr>
                <w:sz w:val="18"/>
                <w:szCs w:val="18"/>
                <w:color w:val="auto"/>
              </w:rPr>
            </w:pPr>
          </w:p>
        </w:tc>
      </w:tr>
      <w:tr>
        <w:trPr>
          <w:trHeight w:val="219"/>
        </w:trPr>
        <w:tc>
          <w:tcPr>
            <w:tcW w:w="6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17.3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51,378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16.3</w:t>
            </w:r>
          </w:p>
        </w:tc>
        <w:tc>
          <w:tcPr>
            <w:tcW w:w="300" w:type="dxa"/>
            <w:vAlign w:val="bottom"/>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r>
      <w:tr>
        <w:trPr>
          <w:trHeight w:val="219"/>
        </w:trPr>
        <w:tc>
          <w:tcPr>
            <w:tcW w:w="60" w:type="dxa"/>
            <w:vAlign w:val="bottom"/>
          </w:tcPr>
          <w:p>
            <w:pPr>
              <w:spacing w:after="0"/>
              <w:rPr>
                <w:sz w:val="19"/>
                <w:szCs w:val="19"/>
                <w:color w:val="auto"/>
              </w:rPr>
            </w:pPr>
          </w:p>
        </w:tc>
        <w:tc>
          <w:tcPr>
            <w:tcW w:w="54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24,100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0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Our Residential segment’s revenues increased by $4.1 million, or 1.3%, during the three months ended December 31, 2024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December 31, 2023. Our multi-family business revenues increased by $7.3 million, or 10.5%, driven by successful execution of its backlog. A reduction in new single-family construction demand largely driven by the impacts of hurricanes in the Florida market, continued low housing affordability and consumer expectations about future interest rate reductions caused a decrease of $4.8 million, or 2.7%, in our single-family electrical revenues, while this decrease was offset by the continued expansion of our plumbing and HVAC business, where revenues increased by $1.6 million, or 2.2%.</w:t>
      </w:r>
    </w:p>
    <w:p>
      <w:pPr>
        <w:spacing w:after="0" w:line="19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three months ended December 31, 2024, our Residential segment's gross profit increased by $3.7 million, or 4.9%,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December 31, 2023. Gross profit as a percentage of revenue increased slightly to 24.7% during the three months ended December 31, 2024, compared to 23.9% for the three months ended December 31, 2023. The increase in profitability was driven primarily by improved project execution and reduced material costs.</w:t>
      </w:r>
    </w:p>
    <w:p>
      <w:pPr>
        <w:spacing w:after="0" w:line="2"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$3.9 million, or 7.7%,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December 31, 2024, compared to the three months ended December 31, 2023. The increase was driven by higher personnel and other administrative costs to support the continued growth of our business. Selling, general and administrative expenses as a percentage of revenue in the Residential segment increased to 17.3% during the three months ended December 31, 2024, compared to 16.3% in the three months ended December 31,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tbl>
      <w:tblPr>
        <w:tblLayout w:type="fixed"/>
        <w:tblInd w:w="40" w:type="dxa"/>
        <w:tblCellMar>
          <w:top w:w="0" w:type="dxa"/>
          <w:left w:w="0" w:type="dxa"/>
          <w:bottom w:w="0" w:type="dxa"/>
          <w:right w:w="0" w:type="dxa"/>
        </w:tblCellMar>
      </w:tblPr>
      <w:tr>
        <w:trPr>
          <w:trHeight w:val="227"/>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Infrastructure Solutions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45"/>
        </w:trPr>
        <w:tc>
          <w:tcPr>
            <w:tcW w:w="12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r>
      <w:tr>
        <w:trPr>
          <w:trHeight w:val="212"/>
        </w:trPr>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854"/>
              <w:spacing w:after="0"/>
              <w:rPr>
                <w:sz w:val="20"/>
                <w:szCs w:val="20"/>
                <w:color w:val="auto"/>
              </w:rPr>
            </w:pPr>
            <w:r>
              <w:rPr>
                <w:rFonts w:ascii="Times New Roman" w:cs="Times New Roman" w:eastAsia="Times New Roman" w:hAnsi="Times New Roman"/>
                <w:sz w:val="17"/>
                <w:szCs w:val="17"/>
                <w:color w:val="auto"/>
              </w:rPr>
              <w:t>2024</w:t>
            </w: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754"/>
              <w:spacing w:after="0"/>
              <w:rPr>
                <w:sz w:val="20"/>
                <w:szCs w:val="20"/>
                <w:color w:val="auto"/>
              </w:rPr>
            </w:pPr>
            <w:r>
              <w:rPr>
                <w:rFonts w:ascii="Times New Roman" w:cs="Times New Roman" w:eastAsia="Times New Roman" w:hAnsi="Times New Roman"/>
                <w:sz w:val="17"/>
                <w:szCs w:val="17"/>
                <w:color w:val="auto"/>
                <w:w w:val="93"/>
              </w:rPr>
              <w:t>2023</w:t>
            </w:r>
          </w:p>
        </w:tc>
        <w:tc>
          <w:tcPr>
            <w:tcW w:w="300" w:type="dxa"/>
            <w:vAlign w:val="bottom"/>
            <w:tcBorders>
              <w:bottom w:val="single" w:sz="8" w:color="auto"/>
            </w:tcBorders>
          </w:tcPr>
          <w:p>
            <w:pPr>
              <w:spacing w:after="0"/>
              <w:rPr>
                <w:sz w:val="18"/>
                <w:szCs w:val="18"/>
                <w:color w:val="auto"/>
              </w:rPr>
            </w:pPr>
          </w:p>
        </w:tc>
      </w:tr>
      <w:tr>
        <w:trPr>
          <w:trHeight w:val="212"/>
        </w:trPr>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r>
      <w:tr>
        <w:trPr>
          <w:trHeight w:val="196"/>
        </w:trPr>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20" w:type="dxa"/>
            <w:vAlign w:val="bottom"/>
            <w:gridSpan w:val="8"/>
          </w:tcPr>
          <w:p>
            <w:pPr>
              <w:ind w:left="92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2"/>
        </w:trPr>
        <w:tc>
          <w:tcPr>
            <w:tcW w:w="12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108,125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62,888</w:t>
            </w:r>
          </w:p>
        </w:tc>
        <w:tc>
          <w:tcPr>
            <w:tcW w:w="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2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73,153</w:t>
            </w:r>
          </w:p>
        </w:tc>
        <w:tc>
          <w:tcPr>
            <w:tcW w:w="1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67.7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44,697</w:t>
            </w:r>
          </w:p>
        </w:tc>
        <w:tc>
          <w:tcPr>
            <w:tcW w:w="60" w:type="dxa"/>
            <w:vAlign w:val="bottom"/>
          </w:tcPr>
          <w:p>
            <w:pPr>
              <w:spacing w:after="0"/>
              <w:rPr>
                <w:sz w:val="19"/>
                <w:szCs w:val="19"/>
                <w:color w:val="auto"/>
              </w:rPr>
            </w:pPr>
          </w:p>
        </w:tc>
        <w:tc>
          <w:tcPr>
            <w:tcW w:w="11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71.1</w:t>
            </w:r>
          </w:p>
        </w:tc>
        <w:tc>
          <w:tcPr>
            <w:tcW w:w="300" w:type="dxa"/>
            <w:vAlign w:val="bottom"/>
          </w:tcPr>
          <w:p>
            <w:pPr>
              <w:spacing w:after="0"/>
              <w:rPr>
                <w:sz w:val="19"/>
                <w:szCs w:val="19"/>
                <w:color w:val="auto"/>
              </w:rPr>
            </w:pPr>
          </w:p>
        </w:tc>
      </w:tr>
      <w:tr>
        <w:trPr>
          <w:trHeight w:val="212"/>
        </w:trPr>
        <w:tc>
          <w:tcPr>
            <w:tcW w:w="1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34,972</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32.3</w:t>
            </w: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28.9</w:t>
            </w:r>
          </w:p>
        </w:tc>
        <w:tc>
          <w:tcPr>
            <w:tcW w:w="300" w:type="dxa"/>
            <w:vAlign w:val="bottom"/>
            <w:tcBorders>
              <w:top w:val="single" w:sz="8" w:color="auto"/>
            </w:tcBorders>
            <w:shd w:val="clear" w:color="auto" w:fill="CCEEFF"/>
          </w:tcPr>
          <w:p>
            <w:pPr>
              <w:spacing w:after="0"/>
              <w:rPr>
                <w:sz w:val="18"/>
                <w:szCs w:val="18"/>
                <w:color w:val="auto"/>
              </w:rPr>
            </w:pPr>
          </w:p>
        </w:tc>
      </w:tr>
      <w:tr>
        <w:trPr>
          <w:trHeight w:val="219"/>
        </w:trPr>
        <w:tc>
          <w:tcPr>
            <w:tcW w:w="12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11,268</w:t>
            </w:r>
          </w:p>
        </w:tc>
        <w:tc>
          <w:tcPr>
            <w:tcW w:w="1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10.4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7,285</w:t>
            </w:r>
          </w:p>
        </w:tc>
        <w:tc>
          <w:tcPr>
            <w:tcW w:w="60" w:type="dxa"/>
            <w:vAlign w:val="bottom"/>
          </w:tcPr>
          <w:p>
            <w:pPr>
              <w:spacing w:after="0"/>
              <w:rPr>
                <w:sz w:val="19"/>
                <w:szCs w:val="19"/>
                <w:color w:val="auto"/>
              </w:rPr>
            </w:pPr>
          </w:p>
        </w:tc>
        <w:tc>
          <w:tcPr>
            <w:tcW w:w="11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11.6</w:t>
            </w:r>
          </w:p>
        </w:tc>
        <w:tc>
          <w:tcPr>
            <w:tcW w:w="300" w:type="dxa"/>
            <w:vAlign w:val="bottom"/>
          </w:tcPr>
          <w:p>
            <w:pPr>
              <w:spacing w:after="0"/>
              <w:rPr>
                <w:sz w:val="19"/>
                <w:szCs w:val="19"/>
                <w:color w:val="auto"/>
              </w:rPr>
            </w:pPr>
          </w:p>
        </w:tc>
      </w:tr>
      <w:tr>
        <w:trPr>
          <w:trHeight w:val="219"/>
        </w:trPr>
        <w:tc>
          <w:tcPr>
            <w:tcW w:w="120" w:type="dxa"/>
            <w:vAlign w:val="bottom"/>
          </w:tcPr>
          <w:p>
            <w:pPr>
              <w:spacing w:after="0"/>
              <w:rPr>
                <w:sz w:val="19"/>
                <w:szCs w:val="19"/>
                <w:color w:val="auto"/>
              </w:rPr>
            </w:pPr>
          </w:p>
        </w:tc>
        <w:tc>
          <w:tcPr>
            <w:tcW w:w="5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r>
      <w:tr>
        <w:trPr>
          <w:trHeight w:val="219"/>
        </w:trPr>
        <w:tc>
          <w:tcPr>
            <w:tcW w:w="120" w:type="dxa"/>
            <w:vAlign w:val="bottom"/>
          </w:tcPr>
          <w:p>
            <w:pPr>
              <w:spacing w:after="0"/>
              <w:rPr>
                <w:sz w:val="19"/>
                <w:szCs w:val="19"/>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Loss on sale of assets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r>
      <w:tr>
        <w:trPr>
          <w:trHeight w:val="212"/>
        </w:trPr>
        <w:tc>
          <w:tcPr>
            <w:tcW w:w="1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40" w:type="dxa"/>
            <w:vAlign w:val="bottom"/>
            <w:tcBorders>
              <w:top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23,286</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21.5</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10,906</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17.3</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Infrastructure Solutions segment increased by $45.2 million during the three months ended December 31, 2024, an increase of 71.9%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three months ended December 31, 2023, driven primarily by continued strong demand in our custom engineered solutions manufacturing businesses, including generator enclosures for data center customers. Greiner Industries, Inc. (“Greiner”), which was acquired on April 1, 2024, contributed $12.2 million in revenues in the three months ended December 31, 2024.</w:t>
      </w:r>
    </w:p>
    <w:p>
      <w:pPr>
        <w:spacing w:after="0" w:line="19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during the three months ended December 31, 2024 increased $16.8 million, compared to the three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December 31, 2023, and gross profit as a percentage of revenue increased from 28.9% to 32.3%. The improvement in gross profit and gross margin was primarily driven by higher volumes, improved pricing, operating efficiencies at our facilities, and the impact of investments to increase capacity we have made over the last several years.</w:t>
      </w:r>
    </w:p>
    <w:p>
      <w:pPr>
        <w:spacing w:after="0" w:line="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2024 increased by $4.0 million, compared to the three months ended December 31, 2023, primarily as a result of increased employee compensation cost to support growth in the business and higher incentive compensation as a result of higher earnings and administrative expenses incurred at Greiner. Selling, general and administrative expenses as a percentage of revenue decreased from 11.6% for the three months ended December 31, 2023 to 10.4% for the three months ended December 31, 2024 as we benefited from the scale of our operations.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Commercial &amp; Industrial</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5"/>
        </w:trPr>
        <w:tc>
          <w:tcPr>
            <w:tcW w:w="14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color w:val="auto"/>
              </w:rPr>
              <w:t>Three Months Ended December 31,</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r>
      <w:tr>
        <w:trPr>
          <w:trHeight w:val="212"/>
        </w:trPr>
        <w:tc>
          <w:tcPr>
            <w:tcW w:w="1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894"/>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774"/>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Borders>
              <w:bottom w:val="single" w:sz="8" w:color="auto"/>
            </w:tcBorders>
          </w:tcPr>
          <w:p>
            <w:pPr>
              <w:spacing w:after="0"/>
              <w:rPr>
                <w:sz w:val="18"/>
                <w:szCs w:val="18"/>
                <w:color w:val="auto"/>
              </w:rPr>
            </w:pPr>
          </w:p>
        </w:tc>
      </w:tr>
      <w:tr>
        <w:trPr>
          <w:trHeight w:val="212"/>
        </w:trPr>
        <w:tc>
          <w:tcPr>
            <w:tcW w:w="1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spacing w:after="0"/>
              <w:rPr>
                <w:sz w:val="18"/>
                <w:szCs w:val="18"/>
                <w:color w:val="auto"/>
              </w:rPr>
            </w:pPr>
          </w:p>
        </w:tc>
      </w:tr>
      <w:tr>
        <w:trPr>
          <w:trHeight w:val="196"/>
        </w:trPr>
        <w:tc>
          <w:tcPr>
            <w:tcW w:w="1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40" w:type="dxa"/>
            <w:vAlign w:val="bottom"/>
            <w:gridSpan w:val="8"/>
          </w:tcPr>
          <w:p>
            <w:pPr>
              <w:jc w:val="right"/>
              <w:ind w:right="994"/>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320" w:type="dxa"/>
            <w:vAlign w:val="bottom"/>
          </w:tcPr>
          <w:p>
            <w:pPr>
              <w:spacing w:after="0"/>
              <w:rPr>
                <w:sz w:val="17"/>
                <w:szCs w:val="17"/>
                <w:color w:val="auto"/>
              </w:rPr>
            </w:pPr>
          </w:p>
        </w:tc>
      </w:tr>
      <w:tr>
        <w:trPr>
          <w:trHeight w:val="222"/>
        </w:trPr>
        <w:tc>
          <w:tcPr>
            <w:tcW w:w="140" w:type="dxa"/>
            <w:vAlign w:val="bottom"/>
          </w:tcPr>
          <w:p>
            <w:pPr>
              <w:spacing w:after="0"/>
              <w:rPr>
                <w:sz w:val="19"/>
                <w:szCs w:val="19"/>
                <w:color w:val="auto"/>
              </w:rPr>
            </w:pPr>
          </w:p>
        </w:tc>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88,491</w:t>
            </w:r>
          </w:p>
        </w:tc>
        <w:tc>
          <w:tcPr>
            <w:tcW w:w="1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84,952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40" w:type="dxa"/>
            <w:vAlign w:val="bottom"/>
          </w:tcPr>
          <w:p>
            <w:pPr>
              <w:spacing w:after="0"/>
              <w:rPr>
                <w:sz w:val="19"/>
                <w:szCs w:val="19"/>
                <w:color w:val="auto"/>
              </w:rPr>
            </w:pPr>
          </w:p>
        </w:tc>
        <w:tc>
          <w:tcPr>
            <w:tcW w:w="5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Cost of services</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73,375</w:t>
            </w:r>
          </w:p>
        </w:tc>
        <w:tc>
          <w:tcPr>
            <w:tcW w:w="12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82.9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71,045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320" w:type="dxa"/>
            <w:vAlign w:val="bottom"/>
          </w:tcPr>
          <w:p>
            <w:pPr>
              <w:spacing w:after="0"/>
              <w:rPr>
                <w:sz w:val="19"/>
                <w:szCs w:val="19"/>
                <w:color w:val="auto"/>
              </w:rPr>
            </w:pPr>
          </w:p>
        </w:tc>
      </w:tr>
      <w:tr>
        <w:trPr>
          <w:trHeight w:val="212"/>
        </w:trPr>
        <w:tc>
          <w:tcPr>
            <w:tcW w:w="14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15,116</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17.1</w:t>
            </w: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13,907</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320" w:type="dxa"/>
            <w:vAlign w:val="bottom"/>
            <w:tcBorders>
              <w:top w:val="single" w:sz="8" w:color="auto"/>
            </w:tcBorders>
            <w:shd w:val="clear" w:color="auto" w:fill="CCEEFF"/>
          </w:tcPr>
          <w:p>
            <w:pPr>
              <w:spacing w:after="0"/>
              <w:rPr>
                <w:sz w:val="18"/>
                <w:szCs w:val="18"/>
                <w:color w:val="auto"/>
              </w:rPr>
            </w:pPr>
          </w:p>
        </w:tc>
      </w:tr>
      <w:tr>
        <w:trPr>
          <w:trHeight w:val="219"/>
        </w:trPr>
        <w:tc>
          <w:tcPr>
            <w:tcW w:w="140" w:type="dxa"/>
            <w:vAlign w:val="bottom"/>
          </w:tcPr>
          <w:p>
            <w:pPr>
              <w:spacing w:after="0"/>
              <w:rPr>
                <w:sz w:val="19"/>
                <w:szCs w:val="19"/>
                <w:color w:val="auto"/>
              </w:rPr>
            </w:pPr>
          </w:p>
        </w:tc>
        <w:tc>
          <w:tcPr>
            <w:tcW w:w="5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8,064</w:t>
            </w:r>
          </w:p>
        </w:tc>
        <w:tc>
          <w:tcPr>
            <w:tcW w:w="12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9.1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320" w:type="dxa"/>
            <w:vAlign w:val="bottom"/>
          </w:tcPr>
          <w:p>
            <w:pPr>
              <w:spacing w:after="0"/>
              <w:rPr>
                <w:sz w:val="19"/>
                <w:szCs w:val="19"/>
                <w:color w:val="auto"/>
              </w:rPr>
            </w:pPr>
          </w:p>
        </w:tc>
      </w:tr>
      <w:tr>
        <w:trPr>
          <w:trHeight w:val="219"/>
        </w:trPr>
        <w:tc>
          <w:tcPr>
            <w:tcW w:w="140" w:type="dxa"/>
            <w:vAlign w:val="bottom"/>
          </w:tcPr>
          <w:p>
            <w:pPr>
              <w:spacing w:after="0"/>
              <w:rPr>
                <w:sz w:val="19"/>
                <w:szCs w:val="19"/>
                <w:color w:val="auto"/>
              </w:rPr>
            </w:pPr>
          </w:p>
        </w:tc>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(Gain) loss on sale of assets</w:t>
            </w:r>
          </w:p>
        </w:tc>
        <w:tc>
          <w:tcPr>
            <w:tcW w:w="2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r>
      <w:tr>
        <w:trPr>
          <w:trHeight w:val="216"/>
        </w:trPr>
        <w:tc>
          <w:tcPr>
            <w:tcW w:w="140" w:type="dxa"/>
            <w:vAlign w:val="bottom"/>
          </w:tcPr>
          <w:p>
            <w:pPr>
              <w:spacing w:after="0"/>
              <w:rPr>
                <w:sz w:val="18"/>
                <w:szCs w:val="18"/>
                <w:color w:val="auto"/>
              </w:rPr>
            </w:pPr>
          </w:p>
        </w:tc>
        <w:tc>
          <w:tcPr>
            <w:tcW w:w="5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7,056</w:t>
            </w:r>
          </w:p>
        </w:tc>
        <w:tc>
          <w:tcPr>
            <w:tcW w:w="140" w:type="dxa"/>
            <w:vAlign w:val="bottom"/>
          </w:tcPr>
          <w:p>
            <w:pPr>
              <w:spacing w:after="0"/>
              <w:rPr>
                <w:sz w:val="18"/>
                <w:szCs w:val="18"/>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8.0</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7,045</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85"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Revenues. </w:t>
      </w:r>
      <w:r>
        <w:rPr>
          <w:rFonts w:ascii="Times New Roman" w:cs="Times New Roman" w:eastAsia="Times New Roman" w:hAnsi="Times New Roman"/>
          <w:sz w:val="17"/>
          <w:szCs w:val="17"/>
          <w:color w:val="auto"/>
        </w:rPr>
        <w:t>Revenues in our Commercial &amp; Industrial segment increased by $3.5 million, or 4.2%, during the three months ended December 31, 2024,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three months ended December 31, 2023. The increase primarily relates to continued strong demand and successful execution of backlog across the business.</w:t>
      </w:r>
    </w:p>
    <w:p>
      <w:pPr>
        <w:spacing w:after="0" w:line="169"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three months ended December 31, 2024 increased by $1.2 million,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December 31, 2023. Gross profit as a percentage of revenue increased from 16.4% for the quarter ended December 31, 2023 to 17.1% for the quarter ended December 31, 2024 as we benefited from improved project execution and bid margins across the business.</w:t>
      </w:r>
    </w:p>
    <w:p>
      <w:pPr>
        <w:spacing w:after="0" w:line="18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2024 increased by $1.2 million, or 17.8%, compared to the three months ended December 31, 2023 primarily as a result of increased employee compensation cost, including higher incentive compensation as a result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5" w:name="page26"/>
    <w:bookmarkEnd w:id="25"/>
    <w:p>
      <w:pPr>
        <w:spacing w:after="0" w:line="287" w:lineRule="auto"/>
        <w:rPr>
          <w:sz w:val="20"/>
          <w:szCs w:val="20"/>
          <w:color w:val="auto"/>
        </w:rPr>
      </w:pPr>
      <w:r>
        <w:rPr>
          <w:rFonts w:ascii="Times New Roman" w:cs="Times New Roman" w:eastAsia="Times New Roman" w:hAnsi="Times New Roman"/>
          <w:sz w:val="17"/>
          <w:szCs w:val="17"/>
          <w:color w:val="auto"/>
        </w:rPr>
        <w:t>of successful project execution. Selling, general and administrative expenses as a percentage of revenue increased from 8.1% for the three months ended December 31, 2023 to 9.1% for the three months ended December 31, 2024.</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227"/>
        </w:trPr>
        <w:tc>
          <w:tcPr>
            <w:tcW w:w="3140" w:type="dxa"/>
            <w:vAlign w:val="bottom"/>
          </w:tcPr>
          <w:p>
            <w:pPr>
              <w:spacing w:after="0"/>
              <w:rPr>
                <w:sz w:val="19"/>
                <w:szCs w:val="19"/>
                <w:color w:val="auto"/>
              </w:rPr>
            </w:pPr>
          </w:p>
        </w:tc>
        <w:tc>
          <w:tcPr>
            <w:tcW w:w="5440" w:type="dxa"/>
            <w:vAlign w:val="bottom"/>
            <w:gridSpan w:val="2"/>
          </w:tcPr>
          <w:p>
            <w:pPr>
              <w:jc w:val="right"/>
              <w:ind w:right="1434"/>
              <w:spacing w:after="0"/>
              <w:rPr>
                <w:sz w:val="20"/>
                <w:szCs w:val="20"/>
                <w:color w:val="auto"/>
              </w:rPr>
            </w:pPr>
            <w:r>
              <w:rPr>
                <w:rFonts w:ascii="Times New Roman" w:cs="Times New Roman" w:eastAsia="Times New Roman" w:hAnsi="Times New Roman"/>
                <w:sz w:val="17"/>
                <w:szCs w:val="17"/>
                <w:b w:val="1"/>
                <w:bCs w:val="1"/>
                <w:color w:val="auto"/>
              </w:rPr>
              <w:t>INTEREST AND OTHER EXPENSE, NET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5"/>
        </w:trPr>
        <w:tc>
          <w:tcPr>
            <w:tcW w:w="314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3320" w:type="dxa"/>
            <w:vAlign w:val="bottom"/>
            <w:tcBorders>
              <w:bottom w:val="single" w:sz="8" w:color="auto"/>
            </w:tcBorders>
            <w:gridSpan w:val="5"/>
          </w:tcPr>
          <w:p>
            <w:pPr>
              <w:jc w:val="right"/>
              <w:ind w:right="334"/>
              <w:spacing w:after="0"/>
              <w:rPr>
                <w:sz w:val="20"/>
                <w:szCs w:val="20"/>
                <w:color w:val="auto"/>
              </w:rPr>
            </w:pPr>
            <w:r>
              <w:rPr>
                <w:rFonts w:ascii="Times New Roman" w:cs="Times New Roman" w:eastAsia="Times New Roman" w:hAnsi="Times New Roman"/>
                <w:sz w:val="17"/>
                <w:szCs w:val="17"/>
                <w:color w:val="auto"/>
              </w:rPr>
              <w:t>Three Months Ended December 31,</w:t>
            </w:r>
          </w:p>
        </w:tc>
      </w:tr>
      <w:tr>
        <w:trPr>
          <w:trHeight w:val="212"/>
        </w:trPr>
        <w:tc>
          <w:tcPr>
            <w:tcW w:w="31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r>
      <w:tr>
        <w:trPr>
          <w:trHeight w:val="196"/>
        </w:trPr>
        <w:tc>
          <w:tcPr>
            <w:tcW w:w="31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gridSpan w:val="3"/>
          </w:tcPr>
          <w:p>
            <w:pPr>
              <w:jc w:val="right"/>
              <w:ind w:right="34"/>
              <w:spacing w:after="0"/>
              <w:rPr>
                <w:sz w:val="20"/>
                <w:szCs w:val="20"/>
                <w:color w:val="auto"/>
              </w:rPr>
            </w:pPr>
            <w:r>
              <w:rPr>
                <w:rFonts w:ascii="Times New Roman" w:cs="Times New Roman" w:eastAsia="Times New Roman" w:hAnsi="Times New Roman"/>
                <w:sz w:val="15"/>
                <w:szCs w:val="15"/>
                <w:color w:val="auto"/>
              </w:rPr>
              <w:t>(In thousands)</w:t>
            </w:r>
          </w:p>
        </w:tc>
        <w:tc>
          <w:tcPr>
            <w:tcW w:w="1100" w:type="dxa"/>
            <w:vAlign w:val="bottom"/>
          </w:tcPr>
          <w:p>
            <w:pPr>
              <w:spacing w:after="0"/>
              <w:rPr>
                <w:sz w:val="17"/>
                <w:szCs w:val="17"/>
                <w:color w:val="auto"/>
              </w:rPr>
            </w:pPr>
          </w:p>
        </w:tc>
      </w:tr>
      <w:tr>
        <w:trPr>
          <w:trHeight w:val="22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5440" w:type="dxa"/>
            <w:vAlign w:val="bottom"/>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19"/>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44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4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w:t>
            </w:r>
          </w:p>
        </w:tc>
      </w:tr>
      <w:tr>
        <w:trPr>
          <w:trHeight w:val="245"/>
        </w:trPr>
        <w:tc>
          <w:tcPr>
            <w:tcW w:w="314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w:t>
            </w:r>
          </w:p>
        </w:tc>
      </w:tr>
      <w:tr>
        <w:trPr>
          <w:trHeight w:val="219"/>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44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w:t>
            </w:r>
          </w:p>
        </w:tc>
      </w:tr>
      <w:tr>
        <w:trPr>
          <w:trHeight w:val="21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income, net</w:t>
            </w:r>
          </w:p>
        </w:tc>
        <w:tc>
          <w:tcPr>
            <w:tcW w:w="44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(3,563)</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w:t>
            </w:r>
          </w:p>
        </w:tc>
      </w:tr>
      <w:tr>
        <w:trPr>
          <w:trHeight w:val="212"/>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and other income, net</w:t>
            </w:r>
          </w:p>
        </w:tc>
        <w:tc>
          <w:tcPr>
            <w:tcW w:w="4420" w:type="dxa"/>
            <w:vAlign w:val="bottom"/>
          </w:tcPr>
          <w:p>
            <w:pPr>
              <w:spacing w:after="0"/>
              <w:rPr>
                <w:sz w:val="18"/>
                <w:szCs w:val="18"/>
                <w:color w:val="auto"/>
              </w:rPr>
            </w:pP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(3,045)</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w:t>
            </w:r>
          </w:p>
        </w:tc>
      </w:tr>
      <w:tr>
        <w:trPr>
          <w:trHeight w:val="20"/>
        </w:trPr>
        <w:tc>
          <w:tcPr>
            <w:tcW w:w="3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During the three months ended December 31, 2024, we incurred interest expense of $0.5 million primarily comprised of interest on our finance lease agreements and fees on an average letter of credit balance of $5.5 million under our revolving credit facility and an average unused line of credit balance of $144.4 million. This compares to interest expense of $0.4 million for the three months ended December 31, 2023, primarily comprised of interest on our finance lease agreements and fees on an average letter of credit balance of $5.6 million under our revolving credit facility and an average unused line of credit balance of $142.4 million.</w:t>
      </w:r>
    </w:p>
    <w:p>
      <w:pPr>
        <w:spacing w:after="0" w:line="19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increase in total other income, net for the three months ended December 31, 2024, compared to the three months ended December 31, 2023 is primarily the result of unrealized gains on investments in trading securities of $2.3 million in the three months ended December 31, 2024 compared to unrealized gains of $0.1 million on investments in trading securities in the three months ended December 31,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2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recorded income tax expense of $20.0 million for the three months ended December 31, 2024, compared to $15.4 million for the three months ended December 31, 2023, driven by increased pretax income.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is based on our Condensed Consolidated Financial Statements included in this Quarterly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For a discussion of our significant accounting policies, please see our Annual Report on Form 10-K for the fiscal year ended September 30, 2024. Some of the more significant estimates include revenue recognition, business combinations, and income taxes.</w:t>
      </w:r>
    </w:p>
    <w:p>
      <w:pPr>
        <w:spacing w:after="0" w:line="2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There have been no significant changes to our accounting policies as disclosed in our Annual Report on Form 10-K for the fiscal year ended September 30, 2024.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REMAINING PERFORMANCE OBLIGATIONS AND BACKLOG</w:t>
      </w:r>
    </w:p>
    <w:p>
      <w:pPr>
        <w:spacing w:after="0" w:line="24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contractual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6" w:name="page27"/>
    <w:bookmarkEnd w:id="26"/>
    <w:p>
      <w:pPr>
        <w:ind w:right="100"/>
        <w:spacing w:after="0" w:line="270" w:lineRule="auto"/>
        <w:rPr>
          <w:sz w:val="20"/>
          <w:szCs w:val="20"/>
          <w:color w:val="auto"/>
        </w:rPr>
      </w:pPr>
      <w:r>
        <w:rPr>
          <w:rFonts w:ascii="Times New Roman" w:cs="Times New Roman" w:eastAsia="Times New Roman" w:hAnsi="Times New Roman"/>
          <w:sz w:val="17"/>
          <w:szCs w:val="17"/>
          <w:color w:val="auto"/>
        </w:rPr>
        <w:t>segment is performed under master service agreements on an as-needed basis. Additionally, electrical, plumbing and HVAC installation services for single-family housing at our Residential segment are completed on a short-term basis and are therefore excluded from backlog. The table below summarizes our remaining performance obligations and backlog (in thousands):</w:t>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December 31,</w:t>
            </w: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September 30,</w:t>
            </w:r>
          </w:p>
        </w:tc>
        <w:tc>
          <w:tcPr>
            <w:tcW w:w="280" w:type="dxa"/>
            <w:vAlign w:val="bottom"/>
          </w:tcPr>
          <w:p>
            <w:pPr>
              <w:spacing w:after="0"/>
              <w:rPr>
                <w:sz w:val="19"/>
                <w:szCs w:val="19"/>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June 30,</w:t>
            </w:r>
          </w:p>
        </w:tc>
        <w:tc>
          <w:tcPr>
            <w:tcW w:w="240" w:type="dxa"/>
            <w:vAlign w:val="bottom"/>
          </w:tcPr>
          <w:p>
            <w:pPr>
              <w:spacing w:after="0"/>
              <w:rPr>
                <w:sz w:val="19"/>
                <w:szCs w:val="19"/>
                <w:color w:val="auto"/>
              </w:rPr>
            </w:pPr>
          </w:p>
        </w:tc>
        <w:tc>
          <w:tcPr>
            <w:tcW w:w="12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March 31,</w:t>
            </w:r>
          </w:p>
        </w:tc>
      </w:tr>
      <w:tr>
        <w:trPr>
          <w:trHeight w:val="223"/>
        </w:trPr>
        <w:tc>
          <w:tcPr>
            <w:tcW w:w="47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r>
      <w:tr>
        <w:trPr>
          <w:trHeight w:val="212"/>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Remaining performance obligations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1,214,828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1,175,695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1,177,184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1,065,444</w:t>
            </w:r>
          </w:p>
        </w:tc>
      </w:tr>
      <w:tr>
        <w:trPr>
          <w:trHeight w:val="258"/>
        </w:trPr>
        <w:tc>
          <w:tcPr>
            <w:tcW w:w="4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 xml:space="preserve">Agreements without an enforceable obligation </w:t>
            </w:r>
            <w:r>
              <w:rPr>
                <w:rFonts w:ascii="Times New Roman" w:cs="Times New Roman" w:eastAsia="Times New Roman" w:hAnsi="Times New Roman"/>
                <w:sz w:val="22"/>
                <w:szCs w:val="22"/>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539,164</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610,459</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519,973</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297,451</w:t>
            </w:r>
          </w:p>
        </w:tc>
      </w:tr>
      <w:tr>
        <w:trPr>
          <w:trHeight w:val="218"/>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1,753,992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1,786,154</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1,697,157</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1,362,895</w:t>
            </w:r>
          </w:p>
        </w:tc>
      </w:tr>
    </w:tbl>
    <w:p>
      <w:pPr>
        <w:spacing w:after="0" w:line="1" w:lineRule="exact"/>
        <w:rPr>
          <w:sz w:val="20"/>
          <w:szCs w:val="20"/>
          <w:color w:val="auto"/>
        </w:rPr>
      </w:pPr>
    </w:p>
    <w:p>
      <w:pPr>
        <w:ind w:left="120" w:right="400" w:firstLine="10"/>
        <w:spacing w:after="0" w:line="253" w:lineRule="auto"/>
        <w:tabs>
          <w:tab w:leader="none" w:pos="339"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backlog contains signed agreements and letters of intent, which we do not have a legal right to enforce prior to work starting. These arrangements are excluded from remaining performance obligations until work begins.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-222885</wp:posOffset>
            </wp:positionV>
            <wp:extent cx="40443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44315" cy="8255"/>
                    </a:xfrm>
                    <a:prstGeom prst="rect">
                      <a:avLst/>
                    </a:prstGeom>
                    <a:noFill/>
                  </pic:spPr>
                </pic:pic>
              </a:graphicData>
            </a:graphic>
          </wp:anchor>
        </w:drawing>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247"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During the three months ended December 31, 2024, working capital exclusive of cash increased by $33.5 million from September 30, 2024, reflecting a $13.9 million increase in current assets excluding cash and a $19.6 million decrease in current liabilities during the period.</w:t>
      </w:r>
    </w:p>
    <w:p>
      <w:pPr>
        <w:spacing w:after="0" w:line="17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During the three months ended December 31, 2024, our current assets exclusive of cash increased to $784.8 million, as compared to $770.9 million as of September 30, 2024. The increase was primarily driven by an $18.0 million increase in marketable securities as a portion of our excess cash was invested in trading securities and a $5.5 million increase in prepaid expenses and other current assets as we made advance payments on our annual business insurance policies during the first quarter of fiscal 2025. These increases were partially offset by a $10.8 million decrease in trade accounts receivable due to the timing of cash collections.</w:t>
      </w:r>
    </w:p>
    <w:p>
      <w:pPr>
        <w:spacing w:after="0" w:line="200" w:lineRule="exact"/>
        <w:rPr>
          <w:sz w:val="20"/>
          <w:szCs w:val="20"/>
          <w:color w:val="auto"/>
        </w:rPr>
      </w:pPr>
    </w:p>
    <w:p>
      <w:pPr>
        <w:spacing w:after="0" w:line="20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7"/>
          <w:szCs w:val="17"/>
          <w:color w:val="auto"/>
        </w:rPr>
        <w:t>During the three months ended December 31, 2024, our total current liabilities decreased by $19.6 million to $503.0 million, compared to $522.6 million as of September 30, 2024, driven by a $31.0 million decrease in accounts payable and accrued expenses primarily as a result of the timing of vendor payments and incentive compensation payments at the end of the calendar year across all of our operating segments. This decrease was partially offset by a $11.4 million increase in billings in excess of costs and estimated earnings driven by the timing of contract billings on projects on which revenue is recognized using the percentage of completion method.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the bonding capacity provided by our sureties is adequate for our current operations and will be adequate for our operations for the foreseeable future.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the estimated cost to complete our bonded projects was approximately $138.9 million.</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Revolving Credit Facility</w:t>
      </w:r>
    </w:p>
    <w:p>
      <w:pPr>
        <w:spacing w:after="0" w:line="24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On January 21, 2025 we entered into the Fourth Amended and Restated Credit Agreement (the “Amended Credit Agreement”). Pursuant to the Amended Credit Agreement, our maximum revolver amount increased from $150 million to $300 million, and the maturity date was extended from September 30, 2026 to January 21, 2030.</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Under the Amended Credit Agreement, the Company is subject to certain financial covenants including a maximum Consolidated Total Leverage Ratio (as defined in the Amended Credit Agreement) of 3.00 to 1.00 and a minimum Consolidated Interest Coverage Ratio (as defined in the Amended Credit Agreement) of 3.00 to 1.00.</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7" w:name="page28"/>
    <w:bookmarkEnd w:id="27"/>
    <w:p>
      <w:pPr>
        <w:ind w:right="60"/>
        <w:spacing w:after="0" w:line="264" w:lineRule="auto"/>
        <w:rPr>
          <w:sz w:val="20"/>
          <w:szCs w:val="20"/>
          <w:color w:val="auto"/>
        </w:rPr>
      </w:pPr>
      <w:r>
        <w:rPr>
          <w:rFonts w:ascii="Times New Roman" w:cs="Times New Roman" w:eastAsia="Times New Roman" w:hAnsi="Times New Roman"/>
          <w:sz w:val="17"/>
          <w:szCs w:val="17"/>
          <w:color w:val="auto"/>
        </w:rPr>
        <w:t>Amounts outstanding bear interest at a rate equal to either (1) the Base Rate (which is the greater of the Federal Funds Rate (as defined in the Amended Credit Agreement) and the Prime Rate (as defined in the Amended Credit Agreement)), (2) the Daily Simple SOFR (as defined in the Amended Credit Agreement) or (3) Term SOFR (as defined in the Amended Credit Agreement), plus, in each case, an interest rate margin, which is determined quarterly based on our Consolidated Total Leverage Ratio, in accordance with the following thresholds:</w:t>
      </w:r>
    </w:p>
    <w:p>
      <w:pPr>
        <w:spacing w:after="0" w:line="158"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Pricing</w:t>
            </w:r>
          </w:p>
        </w:tc>
        <w:tc>
          <w:tcPr>
            <w:tcW w:w="5580" w:type="dxa"/>
            <w:vAlign w:val="bottom"/>
            <w:gridSpan w:val="2"/>
            <w:vMerge w:val="restart"/>
          </w:tcPr>
          <w:p>
            <w:pPr>
              <w:ind w:left="1520"/>
              <w:spacing w:after="0"/>
              <w:rPr>
                <w:sz w:val="20"/>
                <w:szCs w:val="20"/>
                <w:color w:val="auto"/>
              </w:rPr>
            </w:pPr>
            <w:r>
              <w:rPr>
                <w:rFonts w:ascii="Times New Roman" w:cs="Times New Roman" w:eastAsia="Times New Roman" w:hAnsi="Times New Roman"/>
                <w:sz w:val="17"/>
                <w:szCs w:val="17"/>
                <w:color w:val="auto"/>
              </w:rPr>
              <w:t>Consolidated Total Leverage Ratio</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Interest Margin applicable to</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Interest Margin applicable to</w:t>
            </w:r>
          </w:p>
        </w:tc>
        <w:tc>
          <w:tcPr>
            <w:tcW w:w="0" w:type="dxa"/>
            <w:vAlign w:val="bottom"/>
          </w:tcPr>
          <w:p>
            <w:pPr>
              <w:spacing w:after="0"/>
              <w:rPr>
                <w:sz w:val="1"/>
                <w:szCs w:val="1"/>
                <w:color w:val="auto"/>
              </w:rPr>
            </w:pPr>
          </w:p>
        </w:tc>
      </w:tr>
      <w:tr>
        <w:trPr>
          <w:trHeight w:val="228"/>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Level</w:t>
            </w:r>
          </w:p>
        </w:tc>
        <w:tc>
          <w:tcPr>
            <w:tcW w:w="5580" w:type="dxa"/>
            <w:vAlign w:val="bottom"/>
            <w:gridSpan w:val="2"/>
            <w:vMerge w:val="continue"/>
          </w:tcPr>
          <w:p>
            <w:pPr>
              <w:spacing w:after="0"/>
              <w:rPr>
                <w:sz w:val="19"/>
                <w:szCs w:val="19"/>
                <w:color w:val="auto"/>
              </w:rPr>
            </w:pP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Daily Simple SOFR/Term SOFR</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Base Rate</w:t>
            </w:r>
          </w:p>
        </w:tc>
        <w:tc>
          <w:tcPr>
            <w:tcW w:w="0" w:type="dxa"/>
            <w:vAlign w:val="bottom"/>
          </w:tcPr>
          <w:p>
            <w:pPr>
              <w:spacing w:after="0"/>
              <w:rPr>
                <w:sz w:val="1"/>
                <w:szCs w:val="1"/>
                <w:color w:val="auto"/>
              </w:rPr>
            </w:pPr>
          </w:p>
        </w:tc>
      </w:tr>
      <w:tr>
        <w:trPr>
          <w:trHeight w:val="220"/>
        </w:trPr>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I</w:t>
            </w:r>
          </w:p>
        </w:tc>
        <w:tc>
          <w:tcPr>
            <w:tcW w:w="12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Greater than or equal to 2.50 to 1.00</w:t>
            </w:r>
          </w:p>
        </w:tc>
        <w:tc>
          <w:tcPr>
            <w:tcW w:w="140" w:type="dxa"/>
            <w:vAlign w:val="bottom"/>
          </w:tcPr>
          <w:p>
            <w:pPr>
              <w:spacing w:after="0"/>
              <w:rPr>
                <w:sz w:val="19"/>
                <w:szCs w:val="19"/>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2.25 percentage points</w:t>
            </w:r>
          </w:p>
        </w:tc>
        <w:tc>
          <w:tcPr>
            <w:tcW w:w="120" w:type="dxa"/>
            <w:vAlign w:val="bottom"/>
          </w:tcPr>
          <w:p>
            <w:pPr>
              <w:spacing w:after="0"/>
              <w:rPr>
                <w:sz w:val="19"/>
                <w:szCs w:val="19"/>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1.25 percentage points</w:t>
            </w:r>
          </w:p>
        </w:tc>
        <w:tc>
          <w:tcPr>
            <w:tcW w:w="0" w:type="dxa"/>
            <w:vAlign w:val="bottom"/>
          </w:tcPr>
          <w:p>
            <w:pPr>
              <w:spacing w:after="0"/>
              <w:rPr>
                <w:sz w:val="1"/>
                <w:szCs w:val="1"/>
                <w:color w:val="auto"/>
              </w:rPr>
            </w:pPr>
          </w:p>
        </w:tc>
      </w:tr>
      <w:tr>
        <w:trPr>
          <w:trHeight w:val="293"/>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II</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Greater than or equal to 1.75 to 1.00, but less than 2.50 to 1.00</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2.00 percentage points</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 percentage points</w:t>
            </w:r>
          </w:p>
        </w:tc>
        <w:tc>
          <w:tcPr>
            <w:tcW w:w="0" w:type="dxa"/>
            <w:vAlign w:val="bottom"/>
          </w:tcPr>
          <w:p>
            <w:pPr>
              <w:spacing w:after="0"/>
              <w:rPr>
                <w:sz w:val="1"/>
                <w:szCs w:val="1"/>
                <w:color w:val="auto"/>
              </w:rPr>
            </w:pPr>
          </w:p>
        </w:tc>
      </w:tr>
      <w:tr>
        <w:trPr>
          <w:trHeight w:val="297"/>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3"/>
              </w:rPr>
              <w:t>III</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Greater than or equal to 1.00 to 1.00, but less than 1.75 to 1.00</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1.75 percentage points</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0.75 percentage points</w:t>
            </w:r>
          </w:p>
        </w:tc>
        <w:tc>
          <w:tcPr>
            <w:tcW w:w="0" w:type="dxa"/>
            <w:vAlign w:val="bottom"/>
          </w:tcPr>
          <w:p>
            <w:pPr>
              <w:spacing w:after="0"/>
              <w:rPr>
                <w:sz w:val="1"/>
                <w:szCs w:val="1"/>
                <w:color w:val="auto"/>
              </w:rPr>
            </w:pPr>
          </w:p>
        </w:tc>
      </w:tr>
      <w:tr>
        <w:trPr>
          <w:trHeight w:val="297"/>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IV</w:t>
            </w: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than 1.00 to 1.00</w:t>
            </w:r>
          </w:p>
        </w:tc>
        <w:tc>
          <w:tcPr>
            <w:tcW w:w="24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1.50 percentage points</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0.50 percentage points</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In addition, we are charged monthly in arrears for an unused commitment fee of 0.25% to 0.35% per annum on any unused portion of the revolving credit facility based on the Company's Consolidated Total Leverage Ratio.</w:t>
      </w:r>
    </w:p>
    <w:p>
      <w:pPr>
        <w:spacing w:after="0" w:line="100" w:lineRule="exact"/>
        <w:rPr>
          <w:sz w:val="20"/>
          <w:szCs w:val="20"/>
          <w:color w:val="auto"/>
        </w:rPr>
      </w:pPr>
    </w:p>
    <w:p>
      <w:pPr>
        <w:jc w:val="both"/>
        <w:ind w:right="460"/>
        <w:spacing w:after="0" w:line="270" w:lineRule="auto"/>
        <w:rPr>
          <w:sz w:val="20"/>
          <w:szCs w:val="20"/>
          <w:color w:val="auto"/>
        </w:rPr>
      </w:pPr>
      <w:r>
        <w:rPr>
          <w:rFonts w:ascii="Times New Roman" w:cs="Times New Roman" w:eastAsia="Times New Roman" w:hAnsi="Times New Roman"/>
          <w:sz w:val="17"/>
          <w:szCs w:val="17"/>
          <w:color w:val="auto"/>
        </w:rPr>
        <w:t>The Amended Credit Agreement restricts certain types of transactions when the Company’s Consolidated Total Leverage Ratio, after giving pro forma effect thereto, exceeds 2.75 to 1.00. The Amended Credit Agreement continues to contain other customary affirmative and negative covenants as well as events of default.</w:t>
      </w:r>
    </w:p>
    <w:p>
      <w:pPr>
        <w:spacing w:after="0" w:line="114"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Under the Amended Credit Agreement, if in the future our Consolidated Total Leverage Ratio is greater than 3.00:1.00, or our Consolidated Interest Coverage Ratio is less than 3.00:1.00,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spacing w:after="0" w:line="19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At December 31, 2024, we had $5.5 million in outstanding letters of credit and no outstanding borrowings under our revolving credit facility. As of December 31, 2024, the Company was in compliance with the financial covenants under the credit agreement that was in place at December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Currently, our working capital needs are higher than they have been historically, as a result of growth of our business and elevated commodity prices.</w:t>
      </w:r>
    </w:p>
    <w:p>
      <w:pPr>
        <w:spacing w:after="0" w:line="200"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was $37.3 million during the three months ended December 31, 2024, as compared to $25.0 million in the three months ended December 31, 2023. The increase in operating cash flow resulted from increased earnings in the three months ended December 31, 2024 and a decrease in cash used in working capital during the three months ended December 31, 2024 as compared with the three months ended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4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Net cash used in investing activities was $58.4 million for the three months ended December 31, 2024, compared to $6.0 million used in investing activities in the three months ended December 31, 2023. During the three months ended December 31, 2024, we paid $44.9 million to acquire a membership interest in Jett Texas Company LLC (“Jett”), an investment company, as part of the financing of Jett's investment in the CB&amp;I storage solutions business formerly owned by McDermott International, Ltd. We also made capital expenditures of $13.2 million as we continued to purchase new assets instead of entering into new lease agreements at our Communications segment and made other capital expenditures to support the growth of our business. During the three months ended December 31, 2023, we used $6.5 million for capital expenditures to support the growth of our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4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Net cash used in financing activities for the three months ended December 31, 2024 was $20.6 million, compared to $7.3 million for the three months ended December 31, 2023. Net cash used in financing activities for the three months ended December 31, 2024 included $15.7 million used to repurchase our common stock, including repurchases to satisfy statutory withholding requirements upon the vesting of employee stock compensation, and $4.0 million in distributions to noncontrolling interests under operating agreements in connection with certain acquisitions. Net cash used in financing activities for the three months ended December 31, 2023 included $4.1 million to settle our contingent consideration liability related to prior year acquisitions and $1.3 million in distributions to noncontrolling interests under operating agreements in connection with certain acquisitions.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On July 31, 2024, our Board authorized a stock repurchase program for the purchase from time to time of up to $200.0 million of the Company’s common stock after the previous stock repurchase program was fully utilized.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21,048 shares pursuant to our repurchase programs during the three months ended December 31, 2024.</w:t>
      </w:r>
    </w:p>
    <w:p>
      <w:pPr>
        <w:spacing w:after="0" w:line="1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MATERIAL CASH REQUIREMENTS</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December 31, 2024, we did not have any such firm commitments to purchase materials outstanding and there were no material changes in our material cash requirements from those disclosed in our Annual Report on Form 10-K for the fiscal year ended September 30, 2024. We expect that cash and cash equivalents, cash flow from operations and availability under our revolving credit facility will be sufficient to satisfy cash requirements during at least the next 12 months.</w:t>
      </w: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428"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4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We are also exposed to interest rate risk with respect to any debt obligations we may incur our revolving credit facility. For additional information see </w:t>
      </w:r>
      <w:r>
        <w:rPr>
          <w:rFonts w:ascii="Times New Roman" w:cs="Times New Roman" w:eastAsia="Times New Roman" w:hAnsi="Times New Roman"/>
          <w:sz w:val="17"/>
          <w:szCs w:val="17"/>
          <w:i w:val="1"/>
          <w:iCs w:val="1"/>
          <w:color w:val="auto"/>
        </w:rPr>
        <w:t>“Disclosure Regarding Forward-Looking Statements”</w:t>
      </w:r>
      <w:r>
        <w:rPr>
          <w:rFonts w:ascii="Times New Roman" w:cs="Times New Roman" w:eastAsia="Times New Roman" w:hAnsi="Times New Roman"/>
          <w:sz w:val="17"/>
          <w:szCs w:val="17"/>
          <w:color w:val="auto"/>
        </w:rPr>
        <w:t xml:space="preserve"> in Part I of this Quarterly Report on Form 10-Q and our risk factors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2024.</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Risk</w:t>
      </w:r>
    </w:p>
    <w:p>
      <w:pPr>
        <w:spacing w:after="0" w:line="24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exposure to significant market risks includes fluctuations in commodity prices for, among other things, copper, aluminum, steel, electrical components, certain plastics, and fuel. Commodity price risks may have an impact on our results of operations due to the fixed-price nature of many of our contracts. Over the long term, we expect to be able to pass along a portion of these costs to our customers, as market conditions in the industries we serve will allow.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Risk</w:t>
      </w:r>
    </w:p>
    <w:p>
      <w:pPr>
        <w:spacing w:after="0" w:line="23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7"/>
          <w:szCs w:val="17"/>
          <w:color w:val="auto"/>
        </w:rPr>
        <w:t>We are exposed to market price volatility for our investments in marketable securities which are carried at fair value measured using market prices, with gains and losses included in “Other income, net” on our Condensed Consolidated Statements of Comprehensive Income. Changes in the market value of these investments could create volatility in our reported earnings from period to period, and a decline in value of our investments could have an adverse impact on our reported earnings. Changes in market value of these investments measured at fair value resulted in an unrealized gain of $2.3 million in the three months ended December 31, 2024. As of December 31, 2024, we had investments in marketable securities with a fair value of $53.0 million, and a 10% change in the market value of these investments would cause a $5.3 million impact to our pre-tax income.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Floating rate debt, where the interest rate fluctuates periodically, exposes us to short-term changes in market interest rates. Any long-term debt that may be outstanding from time to time under our revolving credit facility is structured on floating rate terms. We currently do not maintain any hedging contracts that would limit our exposure to variable rates of interest when we have outstanding borrowings under our revolving credit facility. Under the Amended Credit Agreement, we have the option to use SOFR as the benchmark for establishing the interest rate charged on our borrowings. If we choose to use SOFR to establish the interest rate on our borrowings and SOFR were to increase, our interest payment obligations on any then-outstanding borrowings would increase, having a negative effect on our cash flow and financial condition. We had no borrowings outstanding under our revolving credit facility as of December 31, 2024.</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7"/>
          <w:szCs w:val="17"/>
          <w:color w:val="auto"/>
        </w:rPr>
        <w:t>In the fiscal year ended September 30, 2024, we began planning and preparing for our phased implementation of a new enterprise resource planning (“ERP”) system, which will replace and upgrade many of our existing financial systems and processes. The ERP system is designed to accurately maintain our financial records and provide timely information to management to be used in operating the business. The first phase was implemented in the quarter ended December 31, 2024. The Company has updated the internal controls as appropriate and will continue to monitor the impact of the implementation on our financial reporting business processes. Other than executing the first phase of the ERP implementation, there have been no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 As the implementation activities take place, we will continue to evaluate each quarter whether there are changes that affect our internal control over financial reporting.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4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2024,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30" w:name="page31"/>
    <w:bookmarkEnd w:id="30"/>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49" w:lineRule="exact"/>
        <w:rPr>
          <w:sz w:val="20"/>
          <w:szCs w:val="20"/>
          <w:color w:val="auto"/>
        </w:rPr>
      </w:pPr>
    </w:p>
    <w:p>
      <w:pPr>
        <w:ind w:right="520"/>
        <w:spacing w:after="0" w:line="263" w:lineRule="auto"/>
        <w:rPr>
          <w:sz w:val="20"/>
          <w:szCs w:val="20"/>
          <w:color w:val="auto"/>
        </w:rPr>
      </w:pPr>
      <w:r>
        <w:rPr>
          <w:rFonts w:ascii="Times New Roman" w:cs="Times New Roman" w:eastAsia="Times New Roman" w:hAnsi="Times New Roman"/>
          <w:sz w:val="17"/>
          <w:szCs w:val="17"/>
          <w:color w:val="auto"/>
        </w:rPr>
        <w:t>For information regarding legal proceedings, see Note 12, “Commitments and Contingencies – Legal Matters” in the Notes to our Condensed Consolidated Financial Statements set forth in Part I, Item 1 of this Quarterly Report on Form 10-Q, which is incorporated herein by reference.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22"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7"/>
          <w:szCs w:val="17"/>
          <w:color w:val="auto"/>
        </w:rPr>
        <w:t xml:space="preserve">There have been no material changes to the risk factors disclosed under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our Annual Report on Form 10-K for the fiscal year ended September 30,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63"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3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60" w:type="dxa"/>
            <w:vAlign w:val="bottom"/>
          </w:tcPr>
          <w:p>
            <w:pPr>
              <w:spacing w:after="0"/>
              <w:rPr>
                <w:sz w:val="17"/>
                <w:szCs w:val="17"/>
                <w:color w:val="auto"/>
              </w:rPr>
            </w:pPr>
          </w:p>
        </w:tc>
        <w:tc>
          <w:tcPr>
            <w:tcW w:w="20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rPr>
              <w:t>Maximum Dollar Value of</w:t>
            </w: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174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rPr>
              <w:t>Total Number of</w:t>
            </w:r>
          </w:p>
        </w:tc>
        <w:tc>
          <w:tcPr>
            <w:tcW w:w="154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Average Price Paid</w:t>
            </w:r>
          </w:p>
        </w:tc>
        <w:tc>
          <w:tcPr>
            <w:tcW w:w="156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auto"/>
              </w:rPr>
              <w:t>Shares Purchased as</w:t>
            </w:r>
          </w:p>
        </w:tc>
        <w:tc>
          <w:tcPr>
            <w:tcW w:w="160" w:type="dxa"/>
            <w:vAlign w:val="bottom"/>
          </w:tcPr>
          <w:p>
            <w:pPr>
              <w:spacing w:after="0"/>
              <w:rPr>
                <w:sz w:val="15"/>
                <w:szCs w:val="15"/>
                <w:color w:val="auto"/>
              </w:rPr>
            </w:pPr>
          </w:p>
        </w:tc>
        <w:tc>
          <w:tcPr>
            <w:tcW w:w="2020" w:type="dxa"/>
            <w:vAlign w:val="bottom"/>
          </w:tcPr>
          <w:p>
            <w:pPr>
              <w:jc w:val="center"/>
              <w:ind w:right="54"/>
              <w:spacing w:after="0" w:line="177" w:lineRule="exact"/>
              <w:rPr>
                <w:sz w:val="20"/>
                <w:szCs w:val="20"/>
                <w:color w:val="auto"/>
              </w:rPr>
            </w:pPr>
            <w:r>
              <w:rPr>
                <w:rFonts w:ascii="Times New Roman" w:cs="Times New Roman" w:eastAsia="Times New Roman" w:hAnsi="Times New Roman"/>
                <w:sz w:val="17"/>
                <w:szCs w:val="17"/>
                <w:color w:val="auto"/>
                <w:w w:val="99"/>
              </w:rPr>
              <w:t>Shares That May Yet Be</w:t>
            </w:r>
          </w:p>
        </w:tc>
        <w:tc>
          <w:tcPr>
            <w:tcW w:w="0" w:type="dxa"/>
            <w:vAlign w:val="bottom"/>
          </w:tcPr>
          <w:p>
            <w:pPr>
              <w:spacing w:after="0"/>
              <w:rPr>
                <w:sz w:val="1"/>
                <w:szCs w:val="1"/>
                <w:color w:val="auto"/>
              </w:rPr>
            </w:pPr>
          </w:p>
        </w:tc>
      </w:tr>
      <w:tr>
        <w:trPr>
          <w:trHeight w:val="171"/>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74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Part of a Publicly</w:t>
            </w:r>
          </w:p>
        </w:tc>
        <w:tc>
          <w:tcPr>
            <w:tcW w:w="218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7"/>
                <w:szCs w:val="17"/>
                <w:color w:val="auto"/>
              </w:rPr>
              <w:t>Purchased Under the Publicly</w:t>
            </w:r>
          </w:p>
        </w:tc>
        <w:tc>
          <w:tcPr>
            <w:tcW w:w="0" w:type="dxa"/>
            <w:vAlign w:val="bottom"/>
          </w:tcPr>
          <w:p>
            <w:pPr>
              <w:spacing w:after="0"/>
              <w:rPr>
                <w:sz w:val="1"/>
                <w:szCs w:val="1"/>
                <w:color w:val="auto"/>
              </w:rPr>
            </w:pPr>
          </w:p>
        </w:tc>
      </w:tr>
      <w:tr>
        <w:trPr>
          <w:trHeight w:val="219"/>
        </w:trPr>
        <w:tc>
          <w:tcPr>
            <w:tcW w:w="3160" w:type="dxa"/>
            <w:vAlign w:val="bottom"/>
            <w:vMerge w:val="continue"/>
          </w:tcPr>
          <w:p>
            <w:pPr>
              <w:spacing w:after="0"/>
              <w:rPr>
                <w:sz w:val="19"/>
                <w:szCs w:val="19"/>
                <w:color w:val="auto"/>
              </w:rPr>
            </w:pPr>
          </w:p>
        </w:tc>
        <w:tc>
          <w:tcPr>
            <w:tcW w:w="1740" w:type="dxa"/>
            <w:vAlign w:val="bottom"/>
          </w:tcPr>
          <w:p>
            <w:pPr>
              <w:jc w:val="right"/>
              <w:spacing w:after="0" w:line="219" w:lineRule="exact"/>
              <w:rPr>
                <w:sz w:val="20"/>
                <w:szCs w:val="20"/>
                <w:color w:val="auto"/>
              </w:rPr>
            </w:pPr>
            <w:r>
              <w:rPr>
                <w:rFonts w:ascii="Times New Roman" w:cs="Times New Roman" w:eastAsia="Times New Roman" w:hAnsi="Times New Roman"/>
                <w:sz w:val="17"/>
                <w:szCs w:val="17"/>
                <w:color w:val="auto"/>
              </w:rPr>
              <w:t xml:space="preserve">Shares Purchased </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9"/>
                <w:szCs w:val="19"/>
                <w:color w:val="auto"/>
              </w:rPr>
            </w:pPr>
          </w:p>
        </w:tc>
        <w:tc>
          <w:tcPr>
            <w:tcW w:w="12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Per 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Announced Plan</w:t>
            </w:r>
          </w:p>
        </w:tc>
        <w:tc>
          <w:tcPr>
            <w:tcW w:w="160" w:type="dxa"/>
            <w:vAlign w:val="bottom"/>
          </w:tcPr>
          <w:p>
            <w:pPr>
              <w:spacing w:after="0"/>
              <w:rPr>
                <w:sz w:val="19"/>
                <w:szCs w:val="19"/>
                <w:color w:val="auto"/>
              </w:rPr>
            </w:pPr>
          </w:p>
        </w:tc>
        <w:tc>
          <w:tcPr>
            <w:tcW w:w="2020" w:type="dxa"/>
            <w:vAlign w:val="bottom"/>
          </w:tcPr>
          <w:p>
            <w:pPr>
              <w:jc w:val="center"/>
              <w:ind w:right="54"/>
              <w:spacing w:after="0" w:line="219" w:lineRule="exact"/>
              <w:rPr>
                <w:sz w:val="20"/>
                <w:szCs w:val="20"/>
                <w:color w:val="auto"/>
              </w:rPr>
            </w:pPr>
            <w:r>
              <w:rPr>
                <w:rFonts w:ascii="Times New Roman" w:cs="Times New Roman" w:eastAsia="Times New Roman" w:hAnsi="Times New Roman"/>
                <w:sz w:val="17"/>
                <w:szCs w:val="17"/>
                <w:color w:val="auto"/>
                <w:w w:val="98"/>
              </w:rPr>
              <w:t xml:space="preserve">Announced Plan </w:t>
            </w:r>
            <w:r>
              <w:rPr>
                <w:rFonts w:ascii="Times New Roman" w:cs="Times New Roman" w:eastAsia="Times New Roman" w:hAnsi="Times New Roman"/>
                <w:sz w:val="22"/>
                <w:szCs w:val="22"/>
                <w:color w:val="auto"/>
                <w:w w:val="98"/>
                <w:vertAlign w:val="superscript"/>
              </w:rPr>
              <w:t>(2)</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2024 – October 31, 2024</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218.67</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198,141,288</w:t>
            </w:r>
          </w:p>
        </w:tc>
        <w:tc>
          <w:tcPr>
            <w:tcW w:w="0" w:type="dxa"/>
            <w:vAlign w:val="bottom"/>
          </w:tcPr>
          <w:p>
            <w:pPr>
              <w:spacing w:after="0"/>
              <w:rPr>
                <w:sz w:val="1"/>
                <w:szCs w:val="1"/>
                <w:color w:val="auto"/>
              </w:rPr>
            </w:pPr>
          </w:p>
        </w:tc>
      </w:tr>
      <w:tr>
        <w:trPr>
          <w:trHeight w:val="219"/>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1, 2024 – November 30,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17,275</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278.01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198,141,288</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1, 2024 – December 31, 2024</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42,469</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257.06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193,723,286</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59,792</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263.08</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21,048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193,723,286</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60" w:hanging="325"/>
        <w:spacing w:after="0"/>
        <w:tabs>
          <w:tab w:leader="none" w:pos="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purchased includes shares purchased pursuant to the program described in footnote (2) below.</w:t>
      </w:r>
    </w:p>
    <w:p>
      <w:pPr>
        <w:spacing w:after="0" w:line="58" w:lineRule="exact"/>
        <w:rPr>
          <w:rFonts w:ascii="Times New Roman" w:cs="Times New Roman" w:eastAsia="Times New Roman" w:hAnsi="Times New Roman"/>
          <w:sz w:val="14"/>
          <w:szCs w:val="14"/>
          <w:color w:val="auto"/>
        </w:rPr>
      </w:pPr>
    </w:p>
    <w:p>
      <w:pPr>
        <w:ind w:left="560" w:hanging="325"/>
        <w:spacing w:after="0"/>
        <w:tabs>
          <w:tab w:leader="none" w:pos="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31, 2024, the Board authorized a new stock repurchase program for the purchase of up to $200 million of the Company’s common stock from time to time.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Trading Arrangements</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From time to time, members of the Company's Board of Directors and officers of the Company may enter into Rule 10b5-1 trading plans, which allow for the purchase or sale of common stock under pre-established terms at times when directors and officers might otherwise be prevented from trading under insider trading laws or because of self-imposed blackout periods. Such trading plans are intended to satisfy the affirmative defense conditions of Rule 10b5-1(c) under the Exchange Act and comply with the Company's Insider Trading Policy. During the three months ended December 31, 2024, none of the Company's directors or officers adopted, modified or terminated a “Rule 10b5-1 trading arrangement” or a “non-Rule 10b5-1 trading arrangement” as each term is defined under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428"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54"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5500" w:type="dxa"/>
            <w:vAlign w:val="bottom"/>
            <w:gridSpan w:val="3"/>
          </w:tcPr>
          <w:p>
            <w:pPr>
              <w:jc w:val="center"/>
              <w:ind w:right="500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w w:val="99"/>
              </w:rPr>
              <w:t>Description</w:t>
            </w:r>
          </w:p>
        </w:tc>
      </w:tr>
      <w:tr>
        <w:trPr>
          <w:trHeight w:val="135"/>
        </w:trPr>
        <w:tc>
          <w:tcPr>
            <w:tcW w:w="140" w:type="dxa"/>
            <w:vAlign w:val="bottom"/>
          </w:tcPr>
          <w:p>
            <w:pPr>
              <w:spacing w:after="0"/>
              <w:rPr>
                <w:sz w:val="11"/>
                <w:szCs w:val="11"/>
                <w:color w:val="auto"/>
              </w:rPr>
            </w:pPr>
          </w:p>
        </w:tc>
        <w:tc>
          <w:tcPr>
            <w:tcW w:w="5360" w:type="dxa"/>
            <w:vAlign w:val="bottom"/>
            <w:gridSpan w:val="2"/>
          </w:tcPr>
          <w:p>
            <w:pPr>
              <w:jc w:val="center"/>
              <w:ind w:right="5140"/>
              <w:spacing w:after="0" w:line="135" w:lineRule="exact"/>
              <w:rPr>
                <w:sz w:val="20"/>
                <w:szCs w:val="20"/>
                <w:color w:val="auto"/>
              </w:rPr>
            </w:pPr>
            <w:r>
              <w:rPr>
                <w:rFonts w:ascii="Times New Roman" w:cs="Times New Roman" w:eastAsia="Times New Roman" w:hAnsi="Times New Roman"/>
                <w:sz w:val="15"/>
                <w:szCs w:val="15"/>
                <w:b w:val="1"/>
                <w:bCs w:val="1"/>
                <w:color w:val="auto"/>
                <w:w w:val="99"/>
              </w:rPr>
              <w:t>No.</w:t>
            </w:r>
          </w:p>
        </w:tc>
        <w:tc>
          <w:tcPr>
            <w:tcW w:w="760" w:type="dxa"/>
            <w:vAlign w:val="bottom"/>
          </w:tcPr>
          <w:p>
            <w:pPr>
              <w:spacing w:after="0"/>
              <w:rPr>
                <w:sz w:val="11"/>
                <w:szCs w:val="1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294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7"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3.1 — </w:t>
      </w:r>
      <w:hyperlink r:id="rId54">
        <w:r>
          <w:rPr>
            <w:rFonts w:ascii="Times New Roman" w:cs="Times New Roman" w:eastAsia="Times New Roman" w:hAnsi="Times New Roman"/>
            <w:sz w:val="17"/>
            <w:szCs w:val="17"/>
            <w:u w:val="single" w:color="auto"/>
            <w:color w:val="0000FF"/>
          </w:rPr>
          <w:t>Second Amended and Restated Certificate of Incorporation of IES Holdings, Inc., as amended by the Certificate of Amendment thereto, effective</w:t>
        </w:r>
      </w:hyperlink>
      <w:r>
        <w:rPr>
          <w:rFonts w:ascii="Times New Roman" w:cs="Times New Roman" w:eastAsia="Times New Roman" w:hAnsi="Times New Roman"/>
          <w:sz w:val="15"/>
          <w:szCs w:val="15"/>
          <w:color w:val="auto"/>
        </w:rPr>
        <w:t xml:space="preserve"> </w:t>
      </w:r>
      <w:hyperlink r:id="rId54">
        <w:r>
          <w:rPr>
            <w:rFonts w:ascii="Times New Roman" w:cs="Times New Roman" w:eastAsia="Times New Roman" w:hAnsi="Times New Roman"/>
            <w:sz w:val="17"/>
            <w:szCs w:val="17"/>
            <w:u w:val="single" w:color="auto"/>
            <w:color w:val="0000FF"/>
          </w:rPr>
          <w:t>May 24, 2016 (composite). (Incorporated by reference to Exhibit 3.1 to the Company’s Quarterly Report on Form 10-Q filed on August 8, 2016).</w:t>
        </w:r>
      </w:hyperlink>
    </w:p>
    <w:p>
      <w:pPr>
        <w:spacing w:after="0" w:line="1" w:lineRule="exact"/>
        <w:rPr>
          <w:sz w:val="20"/>
          <w:szCs w:val="20"/>
          <w:color w:val="auto"/>
        </w:rPr>
      </w:pPr>
    </w:p>
    <w:p>
      <w:pPr>
        <w:ind w:left="1000" w:hanging="420"/>
        <w:spacing w:after="0" w:line="28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3.2 — </w:t>
      </w:r>
      <w:hyperlink r:id="rId55">
        <w:r>
          <w:rPr>
            <w:rFonts w:ascii="Times New Roman" w:cs="Times New Roman" w:eastAsia="Times New Roman" w:hAnsi="Times New Roman"/>
            <w:sz w:val="17"/>
            <w:szCs w:val="17"/>
            <w:u w:val="single" w:color="auto"/>
            <w:color w:val="0000FF"/>
          </w:rPr>
          <w:t>Amended and Restated Bylaws of IES Holdings, Inc., effective April 28, 2021. (Incorporated by reference to Exhibit 3.3 to the Company's</w:t>
        </w:r>
      </w:hyperlink>
      <w:r>
        <w:rPr>
          <w:rFonts w:ascii="Times New Roman" w:cs="Times New Roman" w:eastAsia="Times New Roman" w:hAnsi="Times New Roman"/>
          <w:sz w:val="15"/>
          <w:szCs w:val="15"/>
          <w:color w:val="auto"/>
        </w:rPr>
        <w:t xml:space="preserve"> </w:t>
      </w:r>
      <w:hyperlink r:id="rId55">
        <w:r>
          <w:rPr>
            <w:rFonts w:ascii="Times New Roman" w:cs="Times New Roman" w:eastAsia="Times New Roman" w:hAnsi="Times New Roman"/>
            <w:sz w:val="17"/>
            <w:szCs w:val="17"/>
            <w:u w:val="single" w:color="auto"/>
            <w:color w:val="0000FF"/>
          </w:rPr>
          <w:t>Quarterly Report on Form 10-Q filed on April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7138670" cy="294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5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4.1 — </w:t>
      </w:r>
      <w:hyperlink r:id="rId57">
        <w:r>
          <w:rPr>
            <w:rFonts w:ascii="Times New Roman" w:cs="Times New Roman" w:eastAsia="Times New Roman" w:hAnsi="Times New Roman"/>
            <w:sz w:val="17"/>
            <w:szCs w:val="17"/>
            <w:u w:val="single" w:color="auto"/>
            <w:color w:val="0000FF"/>
          </w:rPr>
          <w:t>Specimen common stock certificate. (Incorporated by reference to Exhibit 4.1 to the Company’s Annual Report on Form 10-K filed on December 9,</w:t>
        </w:r>
      </w:hyperlink>
    </w:p>
    <w:p>
      <w:pPr>
        <w:spacing w:after="0" w:line="36" w:lineRule="exact"/>
        <w:rPr>
          <w:sz w:val="20"/>
          <w:szCs w:val="20"/>
          <w:color w:val="auto"/>
        </w:rPr>
      </w:pPr>
    </w:p>
    <w:p>
      <w:pPr>
        <w:ind w:left="1000"/>
        <w:spacing w:after="0"/>
        <w:rPr>
          <w:rFonts w:ascii="Times New Roman" w:cs="Times New Roman" w:eastAsia="Times New Roman" w:hAnsi="Times New Roman"/>
          <w:sz w:val="17"/>
          <w:szCs w:val="17"/>
          <w:u w:val="single" w:color="auto"/>
          <w:color w:val="0000FF"/>
        </w:rPr>
      </w:pPr>
      <w:hyperlink r:id="rId57">
        <w:r>
          <w:rPr>
            <w:rFonts w:ascii="Times New Roman" w:cs="Times New Roman" w:eastAsia="Times New Roman" w:hAnsi="Times New Roman"/>
            <w:sz w:val="17"/>
            <w:szCs w:val="17"/>
            <w:u w:val="single" w:color="auto"/>
            <w:color w:val="0000FF"/>
          </w:rPr>
          <w:t>2016).</w:t>
        </w:r>
      </w:hyperlink>
    </w:p>
    <w:p>
      <w:pPr>
        <w:spacing w:after="0" w:line="33" w:lineRule="exact"/>
        <w:rPr>
          <w:sz w:val="20"/>
          <w:szCs w:val="20"/>
          <w:color w:val="auto"/>
        </w:rPr>
      </w:pPr>
    </w:p>
    <w:p>
      <w:pPr>
        <w:ind w:left="1000" w:right="120" w:hanging="497"/>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10.1 — </w:t>
      </w:r>
      <w:hyperlink r:id="rId58">
        <w:r>
          <w:rPr>
            <w:rFonts w:ascii="Times New Roman" w:cs="Times New Roman" w:eastAsia="Times New Roman" w:hAnsi="Times New Roman"/>
            <w:sz w:val="17"/>
            <w:szCs w:val="17"/>
            <w:u w:val="single" w:color="auto"/>
            <w:color w:val="0000FF"/>
          </w:rPr>
          <w:t>IES Holdings, Inc. 2025 Supplementary Short Term Incentive plan. (Incorporated by reference to Exhibit 10.1 to the Company's Current Report on</w:t>
        </w:r>
      </w:hyperlink>
      <w:r>
        <w:rPr>
          <w:rFonts w:ascii="Times New Roman" w:cs="Times New Roman" w:eastAsia="Times New Roman" w:hAnsi="Times New Roman"/>
          <w:sz w:val="15"/>
          <w:szCs w:val="15"/>
          <w:color w:val="auto"/>
        </w:rPr>
        <w:t xml:space="preserve"> </w:t>
      </w:r>
      <w:hyperlink r:id="rId58">
        <w:r>
          <w:rPr>
            <w:rFonts w:ascii="Times New Roman" w:cs="Times New Roman" w:eastAsia="Times New Roman" w:hAnsi="Times New Roman"/>
            <w:sz w:val="17"/>
            <w:szCs w:val="17"/>
            <w:u w:val="single" w:color="auto"/>
            <w:color w:val="0000FF"/>
          </w:rPr>
          <w:t>Form 8-K filed on November 22, 2024).</w:t>
        </w:r>
      </w:hyperlink>
    </w:p>
    <w:p>
      <w:pPr>
        <w:spacing w:after="0" w:line="10" w:lineRule="exact"/>
        <w:rPr>
          <w:sz w:val="20"/>
          <w:szCs w:val="20"/>
          <w:color w:val="auto"/>
        </w:rPr>
      </w:pPr>
    </w:p>
    <w:p>
      <w:pPr>
        <w:jc w:val="right"/>
        <w:ind w:left="500" w:right="180"/>
        <w:spacing w:after="0" w:line="22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 — </w:t>
      </w:r>
      <w:hyperlink r:id="rId59">
        <w:r>
          <w:rPr>
            <w:rFonts w:ascii="Times New Roman" w:cs="Times New Roman" w:eastAsia="Times New Roman" w:hAnsi="Times New Roman"/>
            <w:sz w:val="17"/>
            <w:szCs w:val="17"/>
            <w:u w:val="single" w:color="auto"/>
            <w:color w:val="0000FF"/>
          </w:rPr>
          <w:t>Fourth Amended and Restated Credit Agreement by and among the Company and each of the other borrowers and guarantors named therein with</w:t>
        </w:r>
      </w:hyperlink>
      <w:r>
        <w:rPr>
          <w:rFonts w:ascii="Times New Roman" w:cs="Times New Roman" w:eastAsia="Times New Roman" w:hAnsi="Times New Roman"/>
          <w:sz w:val="15"/>
          <w:szCs w:val="15"/>
          <w:color w:val="auto"/>
        </w:rPr>
        <w:t xml:space="preserve"> </w:t>
      </w:r>
      <w:hyperlink r:id="rId59">
        <w:r>
          <w:rPr>
            <w:rFonts w:ascii="Times New Roman" w:cs="Times New Roman" w:eastAsia="Times New Roman" w:hAnsi="Times New Roman"/>
            <w:sz w:val="17"/>
            <w:szCs w:val="17"/>
            <w:u w:val="single" w:color="auto"/>
            <w:color w:val="0000FF"/>
          </w:rPr>
          <w:t>Wells Fargo Bank, National Association, as administrative agent, swingline lender and issuing lender, Wells Fargo Securities LLC and Fifth Third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7138670" cy="466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8670" cy="466725"/>
                    </a:xfrm>
                    <a:prstGeom prst="rect">
                      <a:avLst/>
                    </a:prstGeom>
                    <a:noFill/>
                  </pic:spPr>
                </pic:pic>
              </a:graphicData>
            </a:graphic>
          </wp:anchor>
        </w:drawing>
      </w:r>
    </w:p>
    <w:p>
      <w:pPr>
        <w:ind w:left="1000" w:right="200"/>
        <w:spacing w:after="0" w:line="228" w:lineRule="auto"/>
        <w:rPr>
          <w:rFonts w:ascii="Times New Roman" w:cs="Times New Roman" w:eastAsia="Times New Roman" w:hAnsi="Times New Roman"/>
          <w:sz w:val="17"/>
          <w:szCs w:val="17"/>
          <w:u w:val="single" w:color="auto"/>
          <w:color w:val="0000FF"/>
        </w:rPr>
      </w:pPr>
      <w:hyperlink r:id="rId59">
        <w:r>
          <w:rPr>
            <w:rFonts w:ascii="Times New Roman" w:cs="Times New Roman" w:eastAsia="Times New Roman" w:hAnsi="Times New Roman"/>
            <w:sz w:val="17"/>
            <w:szCs w:val="17"/>
            <w:u w:val="single" w:color="auto"/>
            <w:color w:val="0000FF"/>
          </w:rPr>
          <w:t>Bank, National Association as joint lead arrangers and joint bookrunners and other financial institutions party thereto as lenders. (Incorporated by</w:t>
        </w:r>
      </w:hyperlink>
      <w:r>
        <w:rPr>
          <w:rFonts w:ascii="Times New Roman" w:cs="Times New Roman" w:eastAsia="Times New Roman" w:hAnsi="Times New Roman"/>
          <w:sz w:val="17"/>
          <w:szCs w:val="17"/>
          <w:u w:val="single" w:color="auto"/>
          <w:color w:val="0000FF"/>
        </w:rPr>
        <w:t xml:space="preserve"> </w:t>
      </w:r>
      <w:hyperlink r:id="rId59">
        <w:r>
          <w:rPr>
            <w:rFonts w:ascii="Times New Roman" w:cs="Times New Roman" w:eastAsia="Times New Roman" w:hAnsi="Times New Roman"/>
            <w:sz w:val="17"/>
            <w:szCs w:val="17"/>
            <w:u w:val="single" w:color="auto"/>
            <w:color w:val="0000FF"/>
          </w:rPr>
          <w:t>reference to Exhibit 10.1 to the Company's Current Report on Form 8-K filed on January 22, 2025).</w:t>
        </w:r>
      </w:hyperlink>
    </w:p>
    <w:p>
      <w:pPr>
        <w:ind w:left="500"/>
        <w:spacing w:after="0" w:line="212" w:lineRule="auto"/>
        <w:rPr>
          <w:sz w:val="20"/>
          <w:szCs w:val="20"/>
          <w:color w:val="auto"/>
        </w:rPr>
      </w:pPr>
      <w:r>
        <w:rPr>
          <w:rFonts w:ascii="Times New Roman" w:cs="Times New Roman" w:eastAsia="Times New Roman" w:hAnsi="Times New Roman"/>
          <w:sz w:val="15"/>
          <w:szCs w:val="15"/>
          <w:color w:val="auto"/>
        </w:rPr>
        <w:t xml:space="preserve">31.1 — </w:t>
      </w:r>
      <w:r>
        <w:rPr>
          <w:rFonts w:ascii="Times New Roman" w:cs="Times New Roman" w:eastAsia="Times New Roman" w:hAnsi="Times New Roman"/>
          <w:sz w:val="17"/>
          <w:szCs w:val="17"/>
          <w:u w:val="single" w:color="auto"/>
          <w:color w:val="0000FF"/>
        </w:rPr>
        <w:t>Rule 13a-14(a)/15d-14(a)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08" w:lineRule="auto"/>
        <w:rPr>
          <w:sz w:val="20"/>
          <w:szCs w:val="20"/>
          <w:color w:val="auto"/>
        </w:rPr>
      </w:pPr>
      <w:r>
        <w:rPr>
          <w:rFonts w:ascii="Times New Roman" w:cs="Times New Roman" w:eastAsia="Times New Roman" w:hAnsi="Times New Roman"/>
          <w:sz w:val="15"/>
          <w:szCs w:val="15"/>
          <w:color w:val="auto"/>
        </w:rPr>
        <w:t xml:space="preserve">31.2 — </w:t>
      </w:r>
      <w:r>
        <w:rPr>
          <w:rFonts w:ascii="Times New Roman" w:cs="Times New Roman" w:eastAsia="Times New Roman" w:hAnsi="Times New Roman"/>
          <w:sz w:val="17"/>
          <w:szCs w:val="17"/>
          <w:u w:val="single" w:color="auto"/>
          <w:color w:val="0000FF"/>
        </w:rPr>
        <w:t>Rule 13a-14(a)/15d-14(a)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(1)</w:t>
      </w:r>
    </w:p>
    <w:p>
      <w:pPr>
        <w:ind w:left="500"/>
        <w:spacing w:after="0" w:line="208" w:lineRule="auto"/>
        <w:rPr>
          <w:sz w:val="20"/>
          <w:szCs w:val="20"/>
          <w:color w:val="auto"/>
        </w:rPr>
      </w:pPr>
      <w:r>
        <w:rPr>
          <w:rFonts w:ascii="Times New Roman" w:cs="Times New Roman" w:eastAsia="Times New Roman" w:hAnsi="Times New Roman"/>
          <w:sz w:val="15"/>
          <w:szCs w:val="15"/>
          <w:color w:val="auto"/>
        </w:rPr>
        <w:t xml:space="preserve">32.1 — </w:t>
      </w:r>
      <w:r>
        <w:rPr>
          <w:rFonts w:ascii="Times New Roman" w:cs="Times New Roman" w:eastAsia="Times New Roman" w:hAnsi="Times New Roman"/>
          <w:sz w:val="17"/>
          <w:szCs w:val="17"/>
          <w:u w:val="single" w:color="auto"/>
          <w:color w:val="0000FF"/>
        </w:rPr>
        <w:t>Section 1350 Certification of Jeffrey L. Gendell, Chief Executive Officer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39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18" w:lineRule="auto"/>
        <w:rPr>
          <w:sz w:val="20"/>
          <w:szCs w:val="20"/>
          <w:color w:val="auto"/>
        </w:rPr>
      </w:pPr>
      <w:r>
        <w:rPr>
          <w:rFonts w:ascii="Times New Roman" w:cs="Times New Roman" w:eastAsia="Times New Roman" w:hAnsi="Times New Roman"/>
          <w:sz w:val="15"/>
          <w:szCs w:val="15"/>
          <w:color w:val="auto"/>
        </w:rPr>
        <w:t xml:space="preserve">32.2 — </w:t>
      </w:r>
      <w:r>
        <w:rPr>
          <w:rFonts w:ascii="Times New Roman" w:cs="Times New Roman" w:eastAsia="Times New Roman" w:hAnsi="Times New Roman"/>
          <w:sz w:val="17"/>
          <w:szCs w:val="17"/>
          <w:u w:val="single" w:color="auto"/>
          <w:color w:val="0000FF"/>
        </w:rPr>
        <w:t>Section 1350 Certification of Tracy A. McLauchlin, Senior Vice President, Chief Financial Officer and Treasurer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2"/>
          <w:szCs w:val="22"/>
          <w:color w:val="auto"/>
          <w:vertAlign w:val="superscript"/>
        </w:rPr>
        <w:t>(2)</w:t>
      </w:r>
    </w:p>
    <w:p>
      <w:pPr>
        <w:ind w:left="1000" w:hanging="611"/>
        <w:spacing w:after="0" w:line="242" w:lineRule="auto"/>
        <w:rPr>
          <w:sz w:val="20"/>
          <w:szCs w:val="20"/>
          <w:color w:val="auto"/>
        </w:rPr>
      </w:pPr>
      <w:r>
        <w:rPr>
          <w:rFonts w:ascii="Times New Roman" w:cs="Times New Roman" w:eastAsia="Times New Roman" w:hAnsi="Times New Roman"/>
          <w:sz w:val="17"/>
          <w:szCs w:val="17"/>
          <w:color w:val="auto"/>
        </w:rPr>
        <w:t xml:space="preserve">101.INS Inline XBRL Instance Document - the instance document does not appear in the Interactive Data File because its XBRL tags are embedded within the Inline XBRL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101.SCH XBRL Schema Document </w:t>
      </w:r>
      <w:r>
        <w:rPr>
          <w:rFonts w:ascii="Times New Roman" w:cs="Times New Roman" w:eastAsia="Times New Roman" w:hAnsi="Times New Roman"/>
          <w:sz w:val="22"/>
          <w:szCs w:val="22"/>
          <w:color w:val="auto"/>
          <w:vertAlign w:val="superscript"/>
        </w:rPr>
        <w:t>(1)</w:t>
      </w:r>
    </w:p>
    <w:p>
      <w:pPr>
        <w:ind w:left="320"/>
        <w:spacing w:after="0" w:line="208" w:lineRule="auto"/>
        <w:rPr>
          <w:sz w:val="20"/>
          <w:szCs w:val="20"/>
          <w:color w:val="auto"/>
        </w:rPr>
      </w:pPr>
      <w:r>
        <w:rPr>
          <w:rFonts w:ascii="Times New Roman" w:cs="Times New Roman" w:eastAsia="Times New Roman" w:hAnsi="Times New Roman"/>
          <w:sz w:val="17"/>
          <w:szCs w:val="17"/>
          <w:color w:val="auto"/>
        </w:rPr>
        <w:t xml:space="preserve">101.LAB XBRL Label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60"/>
        <w:spacing w:after="0" w:line="208" w:lineRule="auto"/>
        <w:rPr>
          <w:sz w:val="20"/>
          <w:szCs w:val="20"/>
          <w:color w:val="auto"/>
        </w:rPr>
      </w:pPr>
      <w:r>
        <w:rPr>
          <w:rFonts w:ascii="Times New Roman" w:cs="Times New Roman" w:eastAsia="Times New Roman" w:hAnsi="Times New Roman"/>
          <w:sz w:val="17"/>
          <w:szCs w:val="17"/>
          <w:color w:val="auto"/>
        </w:rPr>
        <w:t xml:space="preserve">101.PRE XBRL Presentation Linkbase Document </w:t>
      </w:r>
      <w:r>
        <w:rPr>
          <w:rFonts w:ascii="Times New Roman" w:cs="Times New Roman" w:eastAsia="Times New Roman" w:hAnsi="Times New Roman"/>
          <w:sz w:val="22"/>
          <w:szCs w:val="22"/>
          <w:color w:val="auto"/>
          <w:vertAlign w:val="superscript"/>
        </w:rPr>
        <w:t>(1)</w:t>
      </w:r>
    </w:p>
    <w:p>
      <w:pPr>
        <w:ind w:left="340"/>
        <w:spacing w:after="0" w:line="208" w:lineRule="auto"/>
        <w:rPr>
          <w:sz w:val="20"/>
          <w:szCs w:val="20"/>
          <w:color w:val="auto"/>
        </w:rPr>
      </w:pPr>
      <w:r>
        <w:rPr>
          <w:rFonts w:ascii="Times New Roman" w:cs="Times New Roman" w:eastAsia="Times New Roman" w:hAnsi="Times New Roman"/>
          <w:sz w:val="17"/>
          <w:szCs w:val="17"/>
          <w:color w:val="auto"/>
        </w:rPr>
        <w:t xml:space="preserve">101.DEF XBRL Definition Linkbase Document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20"/>
        <w:spacing w:after="0" w:line="218" w:lineRule="auto"/>
        <w:rPr>
          <w:sz w:val="20"/>
          <w:szCs w:val="20"/>
          <w:color w:val="auto"/>
        </w:rPr>
      </w:pPr>
      <w:r>
        <w:rPr>
          <w:rFonts w:ascii="Times New Roman" w:cs="Times New Roman" w:eastAsia="Times New Roman" w:hAnsi="Times New Roman"/>
          <w:sz w:val="17"/>
          <w:szCs w:val="17"/>
          <w:color w:val="auto"/>
        </w:rPr>
        <w:t xml:space="preserve">101.CAL XBRL Calculation Linkbase Document </w:t>
      </w:r>
      <w:r>
        <w:rPr>
          <w:rFonts w:ascii="Times New Roman" w:cs="Times New Roman" w:eastAsia="Times New Roman" w:hAnsi="Times New Roman"/>
          <w:sz w:val="22"/>
          <w:szCs w:val="22"/>
          <w:color w:val="auto"/>
          <w:vertAlign w:val="superscript"/>
        </w:rPr>
        <w:t>(1)</w:t>
      </w:r>
    </w:p>
    <w:p>
      <w:pPr>
        <w:spacing w:after="0" w:line="1" w:lineRule="exact"/>
        <w:rPr>
          <w:sz w:val="20"/>
          <w:szCs w:val="20"/>
          <w:color w:val="auto"/>
        </w:rPr>
      </w:pPr>
    </w:p>
    <w:p>
      <w:pPr>
        <w:ind w:left="1000" w:right="580" w:hanging="291"/>
        <w:spacing w:after="0" w:line="228" w:lineRule="auto"/>
        <w:rPr>
          <w:sz w:val="20"/>
          <w:szCs w:val="20"/>
          <w:color w:val="auto"/>
        </w:rPr>
      </w:pPr>
      <w:r>
        <w:rPr>
          <w:rFonts w:ascii="Times New Roman" w:cs="Times New Roman" w:eastAsia="Times New Roman" w:hAnsi="Times New Roman"/>
          <w:sz w:val="17"/>
          <w:szCs w:val="17"/>
          <w:color w:val="auto"/>
        </w:rPr>
        <w:t>104 Cover Page Interactive Data File - the cover page interactive data file does not appear in the Interactive Data File because its XBRL tags are embedded within the Inline XBRL document</w:t>
      </w:r>
    </w:p>
    <w:p>
      <w:pPr>
        <w:spacing w:after="0" w:line="255" w:lineRule="exact"/>
        <w:rPr>
          <w:sz w:val="20"/>
          <w:szCs w:val="20"/>
          <w:color w:val="auto"/>
        </w:rPr>
      </w:pPr>
    </w:p>
    <w:p>
      <w:pPr>
        <w:ind w:left="1000" w:hanging="234"/>
        <w:spacing w:after="0"/>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7"/>
          <w:szCs w:val="17"/>
          <w:color w:val="auto"/>
        </w:rPr>
      </w:pPr>
    </w:p>
    <w:p>
      <w:pPr>
        <w:ind w:left="1000" w:hanging="234"/>
        <w:spacing w:after="0"/>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26" w:right="3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February 4, 2025.</w:t>
      </w:r>
    </w:p>
    <w:p>
      <w:pPr>
        <w:spacing w:after="0" w:line="21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200" w:lineRule="exact"/>
        <w:rPr>
          <w:sz w:val="20"/>
          <w:szCs w:val="20"/>
          <w:color w:val="auto"/>
        </w:rPr>
      </w:pPr>
    </w:p>
    <w:p>
      <w:pPr>
        <w:spacing w:after="0" w:line="318" w:lineRule="exact"/>
        <w:rPr>
          <w:sz w:val="20"/>
          <w:szCs w:val="20"/>
          <w:color w:val="auto"/>
        </w:rPr>
      </w:pPr>
    </w:p>
    <w:tbl>
      <w:tblPr>
        <w:tblLayout w:type="fixed"/>
        <w:tblInd w:w="5000" w:type="dxa"/>
        <w:tblCellMar>
          <w:top w:w="0" w:type="dxa"/>
          <w:left w:w="0" w:type="dxa"/>
          <w:bottom w:w="0" w:type="dxa"/>
          <w:right w:w="0" w:type="dxa"/>
        </w:tblCellMar>
      </w:tblPr>
      <w:tr>
        <w:trPr>
          <w:trHeight w:val="223"/>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TRACY A. MCLAUCHLIN</w:t>
            </w:r>
          </w:p>
        </w:tc>
      </w:tr>
      <w:tr>
        <w:trPr>
          <w:trHeight w:val="209"/>
        </w:trPr>
        <w:tc>
          <w:tcPr>
            <w:tcW w:w="40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Tracy A. McLauchlin</w:t>
            </w:r>
          </w:p>
        </w:tc>
      </w:tr>
      <w:tr>
        <w:trPr>
          <w:trHeight w:val="219"/>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tc>
      </w:tr>
      <w:tr>
        <w:trPr>
          <w:trHeight w:val="223"/>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 and Authorized Signatory)</w:t>
            </w:r>
          </w:p>
        </w:tc>
      </w:tr>
      <w:tr>
        <w:trPr>
          <w:trHeight w:val="709"/>
        </w:trPr>
        <w:tc>
          <w:tcPr>
            <w:tcW w:w="400" w:type="dxa"/>
            <w:vAlign w:val="bottom"/>
          </w:tcPr>
          <w:p>
            <w:pPr>
              <w:spacing w:after="0"/>
              <w:rPr>
                <w:sz w:val="24"/>
                <w:szCs w:val="24"/>
                <w:color w:val="auto"/>
              </w:rPr>
            </w:pPr>
          </w:p>
        </w:tc>
        <w:tc>
          <w:tcPr>
            <w:tcW w:w="4880" w:type="dxa"/>
            <w:vAlign w:val="bottom"/>
          </w:tcPr>
          <w:p>
            <w:pPr>
              <w:jc w:val="right"/>
              <w:ind w:right="4494"/>
              <w:spacing w:after="0"/>
              <w:rPr>
                <w:sz w:val="20"/>
                <w:szCs w:val="20"/>
                <w:color w:val="auto"/>
              </w:rPr>
            </w:pPr>
            <w:r>
              <w:rPr>
                <w:rFonts w:ascii="Times New Roman" w:cs="Times New Roman" w:eastAsia="Times New Roman" w:hAnsi="Times New Roman"/>
                <w:sz w:val="17"/>
                <w:szCs w:val="17"/>
                <w:color w:val="auto"/>
              </w:rPr>
              <w:t>33</w:t>
            </w:r>
          </w:p>
        </w:tc>
      </w:tr>
    </w:tbl>
    <w:p>
      <w:pPr>
        <w:sectPr>
          <w:pgSz w:w="11900" w:h="16838" w:orient="portrait"/>
          <w:cols w:equalWidth="0" w:num="1">
            <w:col w:w="11240"/>
          </w:cols>
          <w:pgMar w:left="320" w:top="428"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L. Gendell, certify that:</w:t>
      </w:r>
    </w:p>
    <w:p>
      <w:pPr>
        <w:spacing w:after="0" w:line="127" w:lineRule="exact"/>
        <w:rPr>
          <w:sz w:val="20"/>
          <w:szCs w:val="20"/>
          <w:color w:val="auto"/>
        </w:rPr>
      </w:pPr>
    </w:p>
    <w:p>
      <w:pPr>
        <w:ind w:left="380" w:hanging="162"/>
        <w:spacing w:after="0"/>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2" w:lineRule="exact"/>
        <w:rPr>
          <w:sz w:val="20"/>
          <w:szCs w:val="20"/>
          <w:color w:val="auto"/>
        </w:rPr>
      </w:pPr>
    </w:p>
    <w:p>
      <w:pPr>
        <w:jc w:val="both"/>
        <w:ind w:firstLine="263"/>
        <w:spacing w:after="0" w:line="270" w:lineRule="auto"/>
        <w:tabs>
          <w:tab w:leader="none" w:pos="503"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firstLine="282"/>
        <w:spacing w:after="0" w:line="270" w:lineRule="auto"/>
        <w:tabs>
          <w:tab w:leader="none" w:pos="535"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7"/>
          <w:szCs w:val="17"/>
          <w:color w:val="auto"/>
        </w:rPr>
      </w:pPr>
    </w:p>
    <w:p>
      <w:pPr>
        <w:ind w:firstLine="235"/>
        <w:spacing w:after="0" w:line="287" w:lineRule="auto"/>
        <w:tabs>
          <w:tab w:leader="none" w:pos="46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firstLine="309"/>
        <w:spacing w:after="0" w:line="270" w:lineRule="auto"/>
        <w:tabs>
          <w:tab w:leader="none" w:pos="567" w:val="left"/>
        </w:tabs>
        <w:numPr>
          <w:ilvl w:val="3"/>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282"/>
        <w:spacing w:after="0" w:line="287" w:lineRule="auto"/>
        <w:tabs>
          <w:tab w:leader="none" w:pos="5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firstLine="308"/>
        <w:spacing w:after="0" w:line="287" w:lineRule="auto"/>
        <w:tabs>
          <w:tab w:leader="none" w:pos="556"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4, 2025</w:t>
      </w:r>
    </w:p>
    <w:p>
      <w:pPr>
        <w:spacing w:after="0" w:line="19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5"/>
          <w:szCs w:val="15"/>
          <w:color w:val="auto"/>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33655</wp:posOffset>
            </wp:positionV>
            <wp:extent cx="37166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27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Tracy A. McLauchlin, certify that:</w:t>
      </w:r>
    </w:p>
    <w:p>
      <w:pPr>
        <w:spacing w:after="0" w:line="127" w:lineRule="exact"/>
        <w:rPr>
          <w:sz w:val="20"/>
          <w:szCs w:val="20"/>
          <w:color w:val="auto"/>
        </w:rPr>
      </w:pPr>
    </w:p>
    <w:p>
      <w:pPr>
        <w:ind w:left="380" w:hanging="162"/>
        <w:spacing w:after="0"/>
        <w:tabs>
          <w:tab w:leader="none" w:pos="3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1" w:lineRule="exact"/>
        <w:rPr>
          <w:rFonts w:ascii="Times New Roman" w:cs="Times New Roman" w:eastAsia="Times New Roman" w:hAnsi="Times New Roman"/>
          <w:sz w:val="17"/>
          <w:szCs w:val="17"/>
          <w:color w:val="auto"/>
        </w:rPr>
      </w:pPr>
    </w:p>
    <w:p>
      <w:pPr>
        <w:jc w:val="both"/>
        <w:ind w:left="40" w:firstLine="255"/>
        <w:spacing w:after="0" w:line="270" w:lineRule="auto"/>
        <w:tabs>
          <w:tab w:leader="none" w:pos="534" w:val="left"/>
        </w:tabs>
        <w:numPr>
          <w:ilvl w:val="4"/>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left="40" w:firstLine="274"/>
        <w:spacing w:after="0" w:line="270" w:lineRule="auto"/>
        <w:tabs>
          <w:tab w:leader="none" w:pos="567" w:val="left"/>
        </w:tabs>
        <w:numPr>
          <w:ilvl w:val="5"/>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sz w:val="20"/>
          <w:szCs w:val="20"/>
          <w:color w:val="auto"/>
        </w:rPr>
      </w:pPr>
    </w:p>
    <w:p>
      <w:pPr>
        <w:ind w:left="40" w:firstLine="226"/>
        <w:spacing w:after="0" w:line="287" w:lineRule="auto"/>
        <w:tabs>
          <w:tab w:leader="none" w:pos="5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40" w:firstLine="300"/>
        <w:spacing w:after="0" w:line="270" w:lineRule="auto"/>
        <w:tabs>
          <w:tab w:leader="none" w:pos="59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40" w:firstLine="274"/>
        <w:spacing w:after="0" w:line="287" w:lineRule="auto"/>
        <w:tabs>
          <w:tab w:leader="none" w:pos="54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40" w:firstLine="299"/>
        <w:spacing w:after="0" w:line="287" w:lineRule="auto"/>
        <w:tabs>
          <w:tab w:leader="none" w:pos="58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4, 2025</w:t>
      </w:r>
    </w:p>
    <w:p>
      <w:pPr>
        <w:spacing w:after="0" w:line="17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17145</wp:posOffset>
            </wp:positionV>
            <wp:extent cx="34956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as Principal Financial Officer</w:t>
      </w:r>
    </w:p>
    <w:p>
      <w:pPr>
        <w:sectPr>
          <w:pgSz w:w="11900" w:h="16838" w:orient="portrait"/>
          <w:cols w:equalWidth="0" w:num="1">
            <w:col w:w="11240"/>
          </w:cols>
          <w:pgMar w:left="320" w:top="107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3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December 31, 2024 (the “Report”), I, Jeffrey L. Gendell,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22"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5460" w:val="left"/>
          <w:tab w:leader="none" w:pos="7940" w:val="left"/>
        </w:tabs>
        <w:rPr>
          <w:sz w:val="20"/>
          <w:szCs w:val="20"/>
          <w:color w:val="auto"/>
        </w:rPr>
      </w:pPr>
      <w:r>
        <w:rPr>
          <w:rFonts w:ascii="Times New Roman" w:cs="Times New Roman" w:eastAsia="Times New Roman" w:hAnsi="Times New Roman"/>
          <w:sz w:val="17"/>
          <w:szCs w:val="17"/>
          <w:color w:val="auto"/>
        </w:rPr>
        <w:t>Date: February 4,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17145</wp:posOffset>
            </wp:positionV>
            <wp:extent cx="33839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04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this Quarterly Report of IES Holdings, Inc. (the “Company”) on Form 10-Q for the period ending December 31, 2024 (the “Report”), I, Tracy A. McLauchlin,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23"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4780" w:val="left"/>
          <w:tab w:leader="none" w:pos="7160" w:val="left"/>
        </w:tabs>
        <w:rPr>
          <w:sz w:val="20"/>
          <w:szCs w:val="20"/>
          <w:color w:val="auto"/>
        </w:rPr>
      </w:pPr>
      <w:r>
        <w:rPr>
          <w:rFonts w:ascii="Times New Roman" w:cs="Times New Roman" w:eastAsia="Times New Roman" w:hAnsi="Times New Roman"/>
          <w:sz w:val="17"/>
          <w:szCs w:val="17"/>
          <w:color w:val="auto"/>
        </w:rPr>
        <w:t>Date: February 4,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17145</wp:posOffset>
            </wp:positionV>
            <wp:extent cx="35858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1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7"/>
          <w:szCs w:val="17"/>
          <w:color w:val="auto"/>
        </w:rPr>
        <w:t>as Principal Financial Officer</w:t>
      </w:r>
    </w:p>
    <w:sectPr>
      <w:pgSz w:w="11900" w:h="16838" w:orient="portrait"/>
      <w:cols w:equalWidth="0" w:num="1">
        <w:col w:w="11240"/>
      </w:cols>
      <w:pgMar w:left="320" w:top="10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lvl w:ilvl="1">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lowerRoman"/>
      <w:start w:val="4"/>
    </w:lvl>
  </w:abstractNum>
  <w:abstractNum w:abstractNumId="6">
    <w:nsid w:val="7FDCC233"/>
    <w:multiLevelType w:val="hybridMultilevel"/>
    <w:lvl w:ilvl="0">
      <w:lvlJc w:val="left"/>
      <w:lvlText w:val="&amp;"/>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12">
    <w:nsid w:val="519B500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3">
    <w:nsid w:val="431BD7B7"/>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lvl w:ilvl="1">
      <w:lvlJc w:val="left"/>
      <w:lvlText w:val="(%2)"/>
      <w:numFmt w:val="lowerLetter"/>
      <w:start w:val="2"/>
    </w:lvl>
  </w:abstractNum>
  <w:abstractNum w:abstractNumId="16">
    <w:nsid w:val="257130A3"/>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2"/>
    </w:lvl>
  </w:abstractNum>
  <w:abstractNum w:abstractNumId="17">
    <w:nsid w:val="62BBD95A"/>
    <w:multiLevelType w:val="hybridMultilevel"/>
    <w:lvl w:ilvl="0">
      <w:lvlJc w:val="left"/>
      <w:lvlText w:val="(%1)"/>
      <w:numFmt w:val="lowerLetter"/>
      <w:start w:val="3"/>
    </w:lvl>
    <w:lvl w:ilvl="1">
      <w:lvlJc w:val="left"/>
      <w:lvlText w:val="(%2)"/>
      <w:numFmt w:val="lowerLetter"/>
      <w:start w:val="4"/>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lvl w:ilvl="1">
      <w:lvlJc w:val="left"/>
      <w:lvlText w:val="(%2)"/>
      <w:numFmt w:val="lowerLetter"/>
      <w:start w:val="2"/>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54" Type="http://schemas.openxmlformats.org/officeDocument/2006/relationships/hyperlink" Target="https://www.sec.gov/Archives/edgar/data/1048268/000119312516674386/d211495dex31.htm" TargetMode="External"/><Relationship Id="rId55" Type="http://schemas.openxmlformats.org/officeDocument/2006/relationships/hyperlink" Target="https://www.sec.gov/Archives/edgar/data/1048268/000104826821000065/amendedandrestatedbylawsof.htm" TargetMode="External"/><Relationship Id="rId57" Type="http://schemas.openxmlformats.org/officeDocument/2006/relationships/hyperlink" Target="https://www.sec.gov/Archives/edgar/data/1048268/000119312516789187/d310826dex41.htm" TargetMode="External"/><Relationship Id="rId58" Type="http://schemas.openxmlformats.org/officeDocument/2006/relationships/hyperlink" Target="https://www.sec.gov/Archives/edgar/data/1048268/000104826824000135/ex101supplementarystipland.htm" TargetMode="External"/><Relationship Id="rId59" Type="http://schemas.openxmlformats.org/officeDocument/2006/relationships/hyperlink" Target="https://www.sec.gov/Archives/edgar/data/1048268/000104826825000024/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2025-02-04T06:58:33Z</dcterms:created>
  <dcterms:modified xsi:type="dcterms:W3CDTF">2025-02-04T06:58:33Z</dcterms:modified>
</cp:coreProperties>
</file>