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2604.xml.htm"/>
      <w:bookmarkStart w:id="1" w:name="kswkform4_17833726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Baldock Jennifer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13131 DAIRY ASHFORD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SUGAR 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IES Holdings, Inc.</w:t>
              </w:r>
            </w:hyperlink>
            <w:r>
              <w:rPr/>
              <w:t xml:space="preserve"> [ </w:t>
            </w:r>
            <w:r>
              <w:rPr>
                <w:rFonts w:ascii="Times;serif" w:hAnsi="Times;serif"/>
                <w:color w:val="0000FF"/>
                <w:sz w:val="24"/>
                <w:shd w:fill="FFFFFF" w:val="clear"/>
              </w:rPr>
              <w:t>IESC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5,615</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in Family LLC</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granted pursuant to the IES Holdings, Inc. 2006 Equity Incentive Plan, as amended and restated, upon Ms. Baldock electing to receive shares in lieu of cash or phantom stock units for that portion of her retainer.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co-manager of the family limited liability company that owns the reported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K. Newman,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1437" TargetMode="External"/><Relationship Id="rId5" Type="http://schemas.openxmlformats.org/officeDocument/2006/relationships/hyperlink" Target="http://www.sec.gov/cgi-bin/browse-edgar?action=getcompany&amp;CIK=0001048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630</Words>
  <Characters>3382</Characters>
  <CharactersWithSpaces>3948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